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4"/>
      </w:pPr>
      <w:r w:rsidRPr="00080040">
        <w:rPr>
          <w:rFonts w:hint="eastAsia"/>
        </w:rPr>
        <w:t>糾正案文</w:t>
      </w:r>
    </w:p>
    <w:p w:rsidR="00E25849" w:rsidRPr="00A11636" w:rsidRDefault="0025106C" w:rsidP="00030272">
      <w:pPr>
        <w:pStyle w:val="1"/>
        <w:rPr>
          <w:rFonts w:ascii="Times New Roman" w:hAnsi="Times New Roman"/>
        </w:rPr>
      </w:pPr>
      <w:r>
        <w:rPr>
          <w:rFonts w:hint="eastAsia"/>
        </w:rPr>
        <w:t>被</w:t>
      </w:r>
      <w:r w:rsidRPr="00A11636">
        <w:rPr>
          <w:rFonts w:ascii="Times New Roman" w:hAnsi="Times New Roman"/>
        </w:rPr>
        <w:t>糾正機關：</w:t>
      </w:r>
      <w:r w:rsidR="002E28E0">
        <w:rPr>
          <w:rFonts w:ascii="Times New Roman" w:hAnsi="Times New Roman" w:hint="eastAsia"/>
        </w:rPr>
        <w:t>海洋委員會、交通部觀光署</w:t>
      </w:r>
      <w:r w:rsidR="00E51DCC" w:rsidRPr="00E51DCC">
        <w:rPr>
          <w:rFonts w:ascii="Times New Roman" w:hAnsi="Times New Roman" w:hint="eastAsia"/>
        </w:rPr>
        <w:t>及所屬大鵬灣國家風景區管理處</w:t>
      </w:r>
      <w:r w:rsidRPr="00A11636">
        <w:rPr>
          <w:rFonts w:ascii="Times New Roman" w:hAnsi="Times New Roman"/>
        </w:rPr>
        <w:t>。</w:t>
      </w:r>
    </w:p>
    <w:p w:rsidR="00E25849" w:rsidRPr="00A11636" w:rsidRDefault="0025106C" w:rsidP="00987237">
      <w:pPr>
        <w:pStyle w:val="1"/>
        <w:rPr>
          <w:rFonts w:ascii="Times New Roman" w:hAnsi="Times New Roman"/>
        </w:rPr>
      </w:pPr>
      <w:r w:rsidRPr="00A11636">
        <w:rPr>
          <w:rFonts w:ascii="Times New Roman" w:hAnsi="Times New Roman"/>
        </w:rPr>
        <w:t>案　　　由：</w:t>
      </w:r>
      <w:bookmarkStart w:id="0" w:name="_Hlk152232025"/>
      <w:bookmarkStart w:id="1" w:name="_Hlk176186228"/>
      <w:proofErr w:type="gramStart"/>
      <w:r w:rsidR="002E28E0" w:rsidRPr="002E28E0">
        <w:rPr>
          <w:rFonts w:ascii="Times New Roman" w:hAnsi="Times New Roman" w:hint="eastAsia"/>
        </w:rPr>
        <w:t>海委會</w:t>
      </w:r>
      <w:proofErr w:type="gramEnd"/>
      <w:r w:rsidR="002E28E0" w:rsidRPr="002E28E0">
        <w:rPr>
          <w:rFonts w:ascii="Times New Roman" w:hAnsi="Times New Roman" w:hint="eastAsia"/>
        </w:rPr>
        <w:t>長期以來</w:t>
      </w:r>
      <w:proofErr w:type="gramStart"/>
      <w:r w:rsidR="002E28E0" w:rsidRPr="002E28E0">
        <w:rPr>
          <w:rFonts w:ascii="Times New Roman" w:hAnsi="Times New Roman" w:hint="eastAsia"/>
        </w:rPr>
        <w:t>既知小琉</w:t>
      </w:r>
      <w:proofErr w:type="gramEnd"/>
      <w:r w:rsidR="002E28E0" w:rsidRPr="002E28E0">
        <w:rPr>
          <w:rFonts w:ascii="Times New Roman" w:hAnsi="Times New Roman" w:hint="eastAsia"/>
        </w:rPr>
        <w:t>球環境承載量評估與海域生態息息相關，自可主動進行評估調查，以保護小琉球自然生態資源，避免海洋生態受到衝擊</w:t>
      </w:r>
      <w:r w:rsidR="002E28E0">
        <w:rPr>
          <w:rFonts w:ascii="Times New Roman" w:hAnsi="Times New Roman" w:hint="eastAsia"/>
        </w:rPr>
        <w:t>，</w:t>
      </w:r>
      <w:r w:rsidR="002E28E0" w:rsidRPr="002E28E0">
        <w:rPr>
          <w:rFonts w:ascii="Times New Roman" w:hAnsi="Times New Roman" w:hint="eastAsia"/>
        </w:rPr>
        <w:t>惟該會未積極為之，反寄託於觀光主管機關所為之調查作為，任令小琉球周遭海域海洋生態及生物多樣性趨於惡化、劣化</w:t>
      </w:r>
      <w:r w:rsidR="0097297C">
        <w:rPr>
          <w:rFonts w:ascii="Times New Roman" w:hAnsi="Times New Roman" w:hint="eastAsia"/>
        </w:rPr>
        <w:t>；</w:t>
      </w:r>
      <w:proofErr w:type="gramStart"/>
      <w:r w:rsidR="002E28E0">
        <w:rPr>
          <w:rFonts w:ascii="Times New Roman" w:hAnsi="Times New Roman" w:hint="eastAsia"/>
        </w:rPr>
        <w:t>且</w:t>
      </w:r>
      <w:r w:rsidR="002E28E0" w:rsidRPr="002E28E0">
        <w:rPr>
          <w:rFonts w:ascii="Times New Roman" w:hAnsi="Times New Roman" w:hint="eastAsia"/>
        </w:rPr>
        <w:t>海委會</w:t>
      </w:r>
      <w:proofErr w:type="gramEnd"/>
      <w:r w:rsidR="002E28E0" w:rsidRPr="002E28E0">
        <w:rPr>
          <w:rFonts w:ascii="Times New Roman" w:hAnsi="Times New Roman" w:hint="eastAsia"/>
        </w:rPr>
        <w:t>自成立以來，</w:t>
      </w:r>
      <w:proofErr w:type="gramStart"/>
      <w:r w:rsidR="002E28E0" w:rsidRPr="002E28E0">
        <w:rPr>
          <w:rFonts w:ascii="Times New Roman" w:hAnsi="Times New Roman" w:hint="eastAsia"/>
        </w:rPr>
        <w:t>均未積</w:t>
      </w:r>
      <w:proofErr w:type="gramEnd"/>
      <w:r w:rsidR="002E28E0" w:rsidRPr="002E28E0">
        <w:rPr>
          <w:rFonts w:ascii="Times New Roman" w:hAnsi="Times New Roman" w:hint="eastAsia"/>
        </w:rPr>
        <w:t>極掌握小琉球珊瑚礁生態系統變化情形，加以</w:t>
      </w:r>
      <w:proofErr w:type="gramStart"/>
      <w:r w:rsidR="002E28E0" w:rsidRPr="002E28E0">
        <w:rPr>
          <w:rFonts w:ascii="Times New Roman" w:hAnsi="Times New Roman" w:hint="eastAsia"/>
        </w:rPr>
        <w:t>研訂</w:t>
      </w:r>
      <w:proofErr w:type="gramEnd"/>
      <w:r w:rsidR="002E28E0" w:rsidRPr="002E28E0">
        <w:rPr>
          <w:rFonts w:ascii="Times New Roman" w:hAnsi="Times New Roman" w:hint="eastAsia"/>
        </w:rPr>
        <w:t>適切保育措施，遲至</w:t>
      </w:r>
      <w:r w:rsidR="002E28E0" w:rsidRPr="002E28E0">
        <w:rPr>
          <w:rFonts w:ascii="Times New Roman" w:hAnsi="Times New Roman" w:hint="eastAsia"/>
        </w:rPr>
        <w:t>110</w:t>
      </w:r>
      <w:r w:rsidR="002E28E0" w:rsidRPr="002E28E0">
        <w:rPr>
          <w:rFonts w:ascii="Times New Roman" w:hAnsi="Times New Roman" w:hint="eastAsia"/>
        </w:rPr>
        <w:t>及</w:t>
      </w:r>
      <w:r w:rsidR="002E28E0" w:rsidRPr="002E28E0">
        <w:rPr>
          <w:rFonts w:ascii="Times New Roman" w:hAnsi="Times New Roman" w:hint="eastAsia"/>
        </w:rPr>
        <w:t>111</w:t>
      </w:r>
      <w:r w:rsidR="002E28E0" w:rsidRPr="002E28E0">
        <w:rPr>
          <w:rFonts w:ascii="Times New Roman" w:hAnsi="Times New Roman" w:hint="eastAsia"/>
        </w:rPr>
        <w:t>年方辦理珊瑚監測計畫及珊瑚移植復育措施</w:t>
      </w:r>
      <w:bookmarkEnd w:id="0"/>
      <w:r w:rsidR="002E28E0">
        <w:rPr>
          <w:rFonts w:ascii="Times New Roman" w:hAnsi="Times New Roman" w:hint="eastAsia"/>
        </w:rPr>
        <w:t>。</w:t>
      </w:r>
      <w:proofErr w:type="gramStart"/>
      <w:r w:rsidR="002E28E0">
        <w:rPr>
          <w:rFonts w:ascii="Times New Roman" w:hAnsi="Times New Roman" w:hint="eastAsia"/>
        </w:rPr>
        <w:t>另</w:t>
      </w:r>
      <w:r w:rsidR="002E28E0" w:rsidRPr="002E28E0">
        <w:rPr>
          <w:rFonts w:ascii="Times New Roman" w:hAnsi="Times New Roman" w:hint="eastAsia"/>
        </w:rPr>
        <w:t>鵬管</w:t>
      </w:r>
      <w:proofErr w:type="gramEnd"/>
      <w:r w:rsidR="002E28E0" w:rsidRPr="002E28E0">
        <w:rPr>
          <w:rFonts w:ascii="Times New Roman" w:hAnsi="Times New Roman" w:hint="eastAsia"/>
        </w:rPr>
        <w:t>處雖曾於</w:t>
      </w:r>
      <w:r w:rsidR="002E28E0" w:rsidRPr="002E28E0">
        <w:rPr>
          <w:rFonts w:ascii="Times New Roman" w:hAnsi="Times New Roman" w:hint="eastAsia"/>
        </w:rPr>
        <w:t>107</w:t>
      </w:r>
      <w:r w:rsidR="002E28E0" w:rsidRPr="002E28E0">
        <w:rPr>
          <w:rFonts w:ascii="Times New Roman" w:hAnsi="Times New Roman" w:hint="eastAsia"/>
        </w:rPr>
        <w:t>年進行小琉球環境承載量評估調查，惟該調查僅著重觀光旅遊發展，並未考量小琉球海洋生態等環境因素</w:t>
      </w:r>
      <w:r w:rsidR="002E28E0">
        <w:rPr>
          <w:rFonts w:ascii="Times New Roman" w:hAnsi="Times New Roman" w:hint="eastAsia"/>
        </w:rPr>
        <w:t>，</w:t>
      </w:r>
      <w:r w:rsidR="002E28E0" w:rsidRPr="002E28E0">
        <w:rPr>
          <w:rFonts w:ascii="Times New Roman" w:hAnsi="Times New Roman" w:hint="eastAsia"/>
        </w:rPr>
        <w:t>迨至</w:t>
      </w:r>
      <w:r w:rsidR="002E28E0" w:rsidRPr="002E28E0">
        <w:rPr>
          <w:rFonts w:ascii="Times New Roman" w:hAnsi="Times New Roman" w:hint="eastAsia"/>
        </w:rPr>
        <w:t>113</w:t>
      </w:r>
      <w:r w:rsidR="002E28E0" w:rsidRPr="002E28E0">
        <w:rPr>
          <w:rFonts w:ascii="Times New Roman" w:hAnsi="Times New Roman" w:hint="eastAsia"/>
        </w:rPr>
        <w:t>年</w:t>
      </w:r>
      <w:r w:rsidR="002E28E0" w:rsidRPr="002E28E0">
        <w:rPr>
          <w:rFonts w:ascii="Times New Roman" w:hAnsi="Times New Roman" w:hint="eastAsia"/>
        </w:rPr>
        <w:t>3</w:t>
      </w:r>
      <w:r w:rsidR="002E28E0" w:rsidRPr="002E28E0">
        <w:rPr>
          <w:rFonts w:ascii="Times New Roman" w:hAnsi="Times New Roman" w:hint="eastAsia"/>
        </w:rPr>
        <w:t>月方重新辦理小琉球遊憩承載量評估委託服務之招標作業，且迄今仍未完成兼顧觀光發展及生態保育之遊憩承載量評估調查，致無法擬定經營管理計畫</w:t>
      </w:r>
      <w:r w:rsidR="0097297C">
        <w:rPr>
          <w:rFonts w:ascii="Times New Roman" w:hAnsi="Times New Roman" w:hint="eastAsia"/>
        </w:rPr>
        <w:t>；</w:t>
      </w:r>
      <w:r w:rsidR="002E28E0" w:rsidRPr="002E28E0">
        <w:rPr>
          <w:rFonts w:ascii="Times New Roman" w:hAnsi="Times New Roman" w:hint="eastAsia"/>
        </w:rPr>
        <w:t>鵬管處長期消極不作為，對於大量觀光客源源不斷赴小琉球旅遊完全束手無策，既無法限制</w:t>
      </w:r>
      <w:proofErr w:type="gramStart"/>
      <w:r w:rsidR="002E28E0" w:rsidRPr="002E28E0">
        <w:rPr>
          <w:rFonts w:ascii="Times New Roman" w:hAnsi="Times New Roman" w:hint="eastAsia"/>
        </w:rPr>
        <w:t>交通船航班</w:t>
      </w:r>
      <w:proofErr w:type="gramEnd"/>
      <w:r w:rsidR="002E28E0" w:rsidRPr="002E28E0">
        <w:rPr>
          <w:rFonts w:ascii="Times New Roman" w:hAnsi="Times New Roman" w:hint="eastAsia"/>
        </w:rPr>
        <w:t>班次及限制遊客登島人數，復無法提出人流管制替代方案，觀光</w:t>
      </w:r>
      <w:proofErr w:type="gramStart"/>
      <w:r w:rsidR="002E28E0" w:rsidRPr="002E28E0">
        <w:rPr>
          <w:rFonts w:ascii="Times New Roman" w:hAnsi="Times New Roman" w:hint="eastAsia"/>
        </w:rPr>
        <w:t>署作為鵬</w:t>
      </w:r>
      <w:proofErr w:type="gramEnd"/>
      <w:r w:rsidR="002E28E0" w:rsidRPr="002E28E0">
        <w:rPr>
          <w:rFonts w:ascii="Times New Roman" w:hAnsi="Times New Roman" w:hint="eastAsia"/>
        </w:rPr>
        <w:t>管處上級機關，亦難辭監督不力之咎</w:t>
      </w:r>
      <w:r w:rsidR="00423342" w:rsidRPr="00423342">
        <w:rPr>
          <w:rFonts w:ascii="Times New Roman" w:hAnsi="Times New Roman" w:hint="eastAsia"/>
        </w:rPr>
        <w:t>，</w:t>
      </w:r>
      <w:bookmarkEnd w:id="1"/>
      <w:proofErr w:type="gramStart"/>
      <w:r w:rsidR="00987237" w:rsidRPr="00A11636">
        <w:rPr>
          <w:rFonts w:ascii="Times New Roman" w:hAnsi="Times New Roman"/>
        </w:rPr>
        <w:t>均核</w:t>
      </w:r>
      <w:proofErr w:type="gramEnd"/>
      <w:r w:rsidR="00987237" w:rsidRPr="00A11636">
        <w:rPr>
          <w:rFonts w:ascii="Times New Roman" w:hAnsi="Times New Roman"/>
        </w:rPr>
        <w:t>有違失</w:t>
      </w:r>
      <w:r w:rsidR="00030272" w:rsidRPr="00A11636">
        <w:rPr>
          <w:rFonts w:ascii="Times New Roman" w:hAnsi="Times New Roman"/>
        </w:rPr>
        <w:t>，</w:t>
      </w:r>
      <w:r w:rsidR="008B4841" w:rsidRPr="00A11636">
        <w:rPr>
          <w:rFonts w:ascii="Times New Roman" w:hAnsi="Times New Roman"/>
        </w:rPr>
        <w:t>爰依法提案糾正</w:t>
      </w:r>
      <w:r w:rsidRPr="00A11636">
        <w:rPr>
          <w:rFonts w:ascii="Times New Roman" w:hAnsi="Times New Roman"/>
        </w:rPr>
        <w:t>。</w:t>
      </w:r>
    </w:p>
    <w:p w:rsidR="00E25849" w:rsidRPr="00A11636" w:rsidRDefault="00DB3135" w:rsidP="00DE42B9">
      <w:pPr>
        <w:pStyle w:val="1"/>
        <w:rPr>
          <w:rFonts w:ascii="Times New Roman" w:hAnsi="Times New Roman"/>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A11636">
        <w:rPr>
          <w:rFonts w:ascii="Times New Roman" w:hAnsi="Times New Roman"/>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Pr="00A11636" w:rsidRDefault="0097297C" w:rsidP="0097297C">
      <w:pPr>
        <w:pStyle w:val="10"/>
        <w:ind w:left="680" w:firstLine="680"/>
        <w:rPr>
          <w:rFonts w:ascii="Times New Roman"/>
          <w:color w:val="000000"/>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97297C">
        <w:rPr>
          <w:rFonts w:ascii="Times New Roman" w:hint="eastAsia"/>
        </w:rPr>
        <w:t>據悉，小琉球</w:t>
      </w:r>
      <w:proofErr w:type="gramStart"/>
      <w:r w:rsidRPr="0097297C">
        <w:rPr>
          <w:rFonts w:ascii="Times New Roman" w:hint="eastAsia"/>
        </w:rPr>
        <w:t>疑</w:t>
      </w:r>
      <w:proofErr w:type="gramEnd"/>
      <w:r w:rsidRPr="0097297C">
        <w:rPr>
          <w:rFonts w:ascii="Times New Roman" w:hint="eastAsia"/>
        </w:rPr>
        <w:t>因觀光人數暴增，致多處遊憩地點</w:t>
      </w:r>
      <w:r w:rsidRPr="0097297C">
        <w:rPr>
          <w:rFonts w:ascii="Times New Roman" w:hint="eastAsia"/>
        </w:rPr>
        <w:lastRenderedPageBreak/>
        <w:t>魚類資源枯竭、珊瑚生態系統衰退，又相關權責機關疑未實施登島人數總量管制，致當地海洋生態遭受破壞</w:t>
      </w:r>
      <w:r>
        <w:rPr>
          <w:rFonts w:ascii="Times New Roman" w:hint="eastAsia"/>
        </w:rPr>
        <w:t>一</w:t>
      </w:r>
      <w:r w:rsidRPr="0097297C">
        <w:rPr>
          <w:rFonts w:ascii="Times New Roman" w:hint="eastAsia"/>
        </w:rPr>
        <w:t>案</w:t>
      </w:r>
      <w:r>
        <w:rPr>
          <w:rFonts w:ascii="Times New Roman" w:hint="eastAsia"/>
        </w:rPr>
        <w:t>，</w:t>
      </w:r>
      <w:r w:rsidRPr="0097297C">
        <w:rPr>
          <w:rFonts w:ascii="Times New Roman" w:hint="eastAsia"/>
        </w:rPr>
        <w:t>經本院向海洋委員會</w:t>
      </w:r>
      <w:r>
        <w:rPr>
          <w:rFonts w:hAnsi="標楷體" w:hint="eastAsia"/>
        </w:rPr>
        <w:t>(</w:t>
      </w:r>
      <w:r w:rsidRPr="0097297C">
        <w:rPr>
          <w:rFonts w:ascii="Times New Roman" w:hint="eastAsia"/>
        </w:rPr>
        <w:t>下</w:t>
      </w:r>
      <w:proofErr w:type="gramStart"/>
      <w:r w:rsidRPr="0097297C">
        <w:rPr>
          <w:rFonts w:ascii="Times New Roman" w:hint="eastAsia"/>
        </w:rPr>
        <w:t>稱海委</w:t>
      </w:r>
      <w:proofErr w:type="gramEnd"/>
      <w:r w:rsidRPr="0097297C">
        <w:rPr>
          <w:rFonts w:ascii="Times New Roman" w:hint="eastAsia"/>
        </w:rPr>
        <w:t>會</w:t>
      </w:r>
      <w:r>
        <w:rPr>
          <w:rFonts w:hAnsi="標楷體" w:hint="eastAsia"/>
        </w:rPr>
        <w:t>)</w:t>
      </w:r>
      <w:r w:rsidRPr="0097297C">
        <w:rPr>
          <w:rFonts w:ascii="Times New Roman" w:hint="eastAsia"/>
        </w:rPr>
        <w:t>、交通部觀光署</w:t>
      </w:r>
      <w:r>
        <w:rPr>
          <w:rFonts w:hAnsi="標楷體" w:hint="eastAsia"/>
        </w:rPr>
        <w:t>(</w:t>
      </w:r>
      <w:r w:rsidRPr="0097297C">
        <w:rPr>
          <w:rFonts w:ascii="Times New Roman" w:hint="eastAsia"/>
        </w:rPr>
        <w:t>下稱觀光署</w:t>
      </w:r>
      <w:r>
        <w:rPr>
          <w:rFonts w:hAnsi="標楷體" w:hint="eastAsia"/>
        </w:rPr>
        <w:t>)</w:t>
      </w:r>
      <w:r w:rsidRPr="0097297C">
        <w:rPr>
          <w:rFonts w:ascii="Times New Roman" w:hint="eastAsia"/>
        </w:rPr>
        <w:t>、農業部等相關單位調閱相關卷證；復於民國</w:t>
      </w:r>
      <w:r>
        <w:rPr>
          <w:rFonts w:hAnsi="標楷體" w:hint="eastAsia"/>
        </w:rPr>
        <w:t>(</w:t>
      </w:r>
      <w:r w:rsidRPr="0097297C">
        <w:rPr>
          <w:rFonts w:ascii="Times New Roman" w:hint="eastAsia"/>
        </w:rPr>
        <w:t>下同</w:t>
      </w:r>
      <w:r>
        <w:rPr>
          <w:rFonts w:hAnsi="標楷體" w:hint="eastAsia"/>
        </w:rPr>
        <w:t>)</w:t>
      </w:r>
      <w:r w:rsidRPr="0097297C">
        <w:rPr>
          <w:rFonts w:ascii="Times New Roman" w:hint="eastAsia"/>
        </w:rPr>
        <w:t>113</w:t>
      </w:r>
      <w:r w:rsidRPr="0097297C">
        <w:rPr>
          <w:rFonts w:ascii="Times New Roman" w:hint="eastAsia"/>
        </w:rPr>
        <w:t>年</w:t>
      </w:r>
      <w:r w:rsidRPr="0097297C">
        <w:rPr>
          <w:rFonts w:ascii="Times New Roman" w:hint="eastAsia"/>
        </w:rPr>
        <w:t>3</w:t>
      </w:r>
      <w:r w:rsidRPr="0097297C">
        <w:rPr>
          <w:rFonts w:ascii="Times New Roman" w:hint="eastAsia"/>
        </w:rPr>
        <w:t>月</w:t>
      </w:r>
      <w:r w:rsidRPr="0097297C">
        <w:rPr>
          <w:rFonts w:ascii="Times New Roman" w:hint="eastAsia"/>
        </w:rPr>
        <w:t>13</w:t>
      </w:r>
      <w:r w:rsidRPr="0097297C">
        <w:rPr>
          <w:rFonts w:ascii="Times New Roman" w:hint="eastAsia"/>
        </w:rPr>
        <w:t>日就小琉球鄉沿海珊瑚生存現況與生態保育等議題，諮詢相關專家學者；於</w:t>
      </w:r>
      <w:r w:rsidRPr="0097297C">
        <w:rPr>
          <w:rFonts w:ascii="Times New Roman" w:hint="eastAsia"/>
        </w:rPr>
        <w:t>113</w:t>
      </w:r>
      <w:r w:rsidRPr="0097297C">
        <w:rPr>
          <w:rFonts w:ascii="Times New Roman" w:hint="eastAsia"/>
        </w:rPr>
        <w:t>年</w:t>
      </w:r>
      <w:r w:rsidRPr="0097297C">
        <w:rPr>
          <w:rFonts w:ascii="Times New Roman" w:hint="eastAsia"/>
        </w:rPr>
        <w:t>4</w:t>
      </w:r>
      <w:r w:rsidRPr="0097297C">
        <w:rPr>
          <w:rFonts w:ascii="Times New Roman" w:hint="eastAsia"/>
        </w:rPr>
        <w:t>月</w:t>
      </w:r>
      <w:r w:rsidRPr="0097297C">
        <w:rPr>
          <w:rFonts w:ascii="Times New Roman" w:hint="eastAsia"/>
        </w:rPr>
        <w:t>29</w:t>
      </w:r>
      <w:r w:rsidRPr="0097297C">
        <w:rPr>
          <w:rFonts w:ascii="Times New Roman" w:hint="eastAsia"/>
        </w:rPr>
        <w:t>、</w:t>
      </w:r>
      <w:r w:rsidRPr="0097297C">
        <w:rPr>
          <w:rFonts w:ascii="Times New Roman" w:hint="eastAsia"/>
        </w:rPr>
        <w:t>30</w:t>
      </w:r>
      <w:r w:rsidRPr="0097297C">
        <w:rPr>
          <w:rFonts w:ascii="Times New Roman" w:hint="eastAsia"/>
        </w:rPr>
        <w:t>日至小琉球實地履</w:t>
      </w:r>
      <w:proofErr w:type="gramStart"/>
      <w:r w:rsidRPr="0097297C">
        <w:rPr>
          <w:rFonts w:ascii="Times New Roman" w:hint="eastAsia"/>
        </w:rPr>
        <w:t>勘</w:t>
      </w:r>
      <w:proofErr w:type="gramEnd"/>
      <w:r w:rsidRPr="0097297C">
        <w:rPr>
          <w:rFonts w:ascii="Times New Roman" w:hint="eastAsia"/>
        </w:rPr>
        <w:t>，瞭解該地珊瑚礁生態系統實際情形；並就本案爭點於</w:t>
      </w:r>
      <w:r w:rsidRPr="0097297C">
        <w:rPr>
          <w:rFonts w:ascii="Times New Roman" w:hint="eastAsia"/>
        </w:rPr>
        <w:t>113</w:t>
      </w:r>
      <w:r w:rsidRPr="0097297C">
        <w:rPr>
          <w:rFonts w:ascii="Times New Roman" w:hint="eastAsia"/>
        </w:rPr>
        <w:t>年</w:t>
      </w:r>
      <w:r w:rsidRPr="0097297C">
        <w:rPr>
          <w:rFonts w:ascii="Times New Roman" w:hint="eastAsia"/>
        </w:rPr>
        <w:t>8</w:t>
      </w:r>
      <w:r w:rsidRPr="0097297C">
        <w:rPr>
          <w:rFonts w:ascii="Times New Roman" w:hint="eastAsia"/>
        </w:rPr>
        <w:t>月</w:t>
      </w:r>
      <w:r w:rsidRPr="0097297C">
        <w:rPr>
          <w:rFonts w:ascii="Times New Roman" w:hint="eastAsia"/>
        </w:rPr>
        <w:t>16</w:t>
      </w:r>
      <w:r w:rsidRPr="0097297C">
        <w:rPr>
          <w:rFonts w:ascii="Times New Roman" w:hint="eastAsia"/>
        </w:rPr>
        <w:t>日約</w:t>
      </w:r>
      <w:proofErr w:type="gramStart"/>
      <w:r w:rsidRPr="0097297C">
        <w:rPr>
          <w:rFonts w:ascii="Times New Roman" w:hint="eastAsia"/>
        </w:rPr>
        <w:t>詢海委</w:t>
      </w:r>
      <w:proofErr w:type="gramEnd"/>
      <w:r w:rsidRPr="0097297C">
        <w:rPr>
          <w:rFonts w:ascii="Times New Roman" w:hint="eastAsia"/>
        </w:rPr>
        <w:t>會、</w:t>
      </w:r>
      <w:proofErr w:type="gramStart"/>
      <w:r w:rsidRPr="0097297C">
        <w:rPr>
          <w:rFonts w:ascii="Times New Roman" w:hint="eastAsia"/>
        </w:rPr>
        <w:t>海委</w:t>
      </w:r>
      <w:proofErr w:type="gramEnd"/>
      <w:r w:rsidRPr="0097297C">
        <w:rPr>
          <w:rFonts w:ascii="Times New Roman" w:hint="eastAsia"/>
        </w:rPr>
        <w:t>會海洋保育署</w:t>
      </w:r>
      <w:r>
        <w:rPr>
          <w:rFonts w:hAnsi="標楷體" w:hint="eastAsia"/>
        </w:rPr>
        <w:t>(</w:t>
      </w:r>
      <w:r w:rsidRPr="0097297C">
        <w:rPr>
          <w:rFonts w:ascii="Times New Roman" w:hint="eastAsia"/>
        </w:rPr>
        <w:t>下稱</w:t>
      </w:r>
      <w:proofErr w:type="gramStart"/>
      <w:r w:rsidRPr="0097297C">
        <w:rPr>
          <w:rFonts w:ascii="Times New Roman" w:hint="eastAsia"/>
        </w:rPr>
        <w:t>海保</w:t>
      </w:r>
      <w:proofErr w:type="gramEnd"/>
      <w:r w:rsidRPr="0097297C">
        <w:rPr>
          <w:rFonts w:ascii="Times New Roman" w:hint="eastAsia"/>
        </w:rPr>
        <w:t>署</w:t>
      </w:r>
      <w:r>
        <w:rPr>
          <w:rFonts w:hAnsi="標楷體" w:hint="eastAsia"/>
        </w:rPr>
        <w:t>)</w:t>
      </w:r>
      <w:r w:rsidRPr="0097297C">
        <w:rPr>
          <w:rFonts w:ascii="Times New Roman" w:hint="eastAsia"/>
        </w:rPr>
        <w:t>、觀光署、觀光署大鵬灣國家風景區管理處</w:t>
      </w:r>
      <w:r>
        <w:rPr>
          <w:rFonts w:hAnsi="標楷體" w:hint="eastAsia"/>
        </w:rPr>
        <w:t>(</w:t>
      </w:r>
      <w:proofErr w:type="gramStart"/>
      <w:r w:rsidRPr="0097297C">
        <w:rPr>
          <w:rFonts w:ascii="Times New Roman" w:hint="eastAsia"/>
        </w:rPr>
        <w:t>下稱鵬</w:t>
      </w:r>
      <w:proofErr w:type="gramEnd"/>
      <w:r w:rsidRPr="0097297C">
        <w:rPr>
          <w:rFonts w:ascii="Times New Roman" w:hint="eastAsia"/>
        </w:rPr>
        <w:t>管處</w:t>
      </w:r>
      <w:r>
        <w:rPr>
          <w:rFonts w:hAnsi="標楷體" w:hint="eastAsia"/>
        </w:rPr>
        <w:t>)</w:t>
      </w:r>
      <w:r w:rsidRPr="0097297C">
        <w:rPr>
          <w:rFonts w:ascii="Times New Roman" w:hint="eastAsia"/>
        </w:rPr>
        <w:t>、交通部航港局</w:t>
      </w:r>
      <w:r>
        <w:rPr>
          <w:rFonts w:hAnsi="標楷體" w:hint="eastAsia"/>
        </w:rPr>
        <w:t>(</w:t>
      </w:r>
      <w:proofErr w:type="gramStart"/>
      <w:r w:rsidRPr="0097297C">
        <w:rPr>
          <w:rFonts w:ascii="Times New Roman" w:hint="eastAsia"/>
        </w:rPr>
        <w:t>下稱航</w:t>
      </w:r>
      <w:proofErr w:type="gramEnd"/>
      <w:r w:rsidRPr="0097297C">
        <w:rPr>
          <w:rFonts w:ascii="Times New Roman" w:hint="eastAsia"/>
        </w:rPr>
        <w:t>港局</w:t>
      </w:r>
      <w:r>
        <w:rPr>
          <w:rFonts w:hAnsi="標楷體" w:hint="eastAsia"/>
        </w:rPr>
        <w:t>)</w:t>
      </w:r>
      <w:r w:rsidRPr="0097297C">
        <w:rPr>
          <w:rFonts w:ascii="Times New Roman" w:hint="eastAsia"/>
        </w:rPr>
        <w:t>、屏東縣政府等相關主管、業管人員；再就小琉球珊瑚礁衰退及遊憩承載評估情形，分別以書面及實體會議方式，請相關學</w:t>
      </w:r>
      <w:r>
        <w:rPr>
          <w:rFonts w:hAnsi="標楷體" w:hint="eastAsia"/>
        </w:rPr>
        <w:t>(</w:t>
      </w:r>
      <w:r w:rsidRPr="0097297C">
        <w:rPr>
          <w:rFonts w:ascii="Times New Roman" w:hint="eastAsia"/>
        </w:rPr>
        <w:t>協</w:t>
      </w:r>
      <w:r>
        <w:rPr>
          <w:rFonts w:hAnsi="標楷體" w:hint="eastAsia"/>
        </w:rPr>
        <w:t>)</w:t>
      </w:r>
      <w:r w:rsidRPr="0097297C">
        <w:rPr>
          <w:rFonts w:ascii="Times New Roman" w:hint="eastAsia"/>
        </w:rPr>
        <w:t>會提供意見，</w:t>
      </w:r>
      <w:r w:rsidR="00423342" w:rsidRPr="00423342">
        <w:rPr>
          <w:rFonts w:ascii="Times New Roman" w:hint="eastAsia"/>
        </w:rPr>
        <w:t>再</w:t>
      </w:r>
      <w:proofErr w:type="gramStart"/>
      <w:r w:rsidR="00423342" w:rsidRPr="00423342">
        <w:rPr>
          <w:rFonts w:ascii="Times New Roman" w:hint="eastAsia"/>
        </w:rPr>
        <w:t>蒐</w:t>
      </w:r>
      <w:proofErr w:type="gramEnd"/>
      <w:r w:rsidR="00423342" w:rsidRPr="00423342">
        <w:rPr>
          <w:rFonts w:ascii="Times New Roman" w:hint="eastAsia"/>
        </w:rPr>
        <w:t>研相關卷證</w:t>
      </w:r>
      <w:r w:rsidR="00423342">
        <w:rPr>
          <w:rFonts w:ascii="Times New Roman" w:hint="eastAsia"/>
        </w:rPr>
        <w:t>，</w:t>
      </w:r>
      <w:proofErr w:type="gramStart"/>
      <w:r w:rsidR="009B4868" w:rsidRPr="00A11636">
        <w:rPr>
          <w:rFonts w:ascii="Times New Roman"/>
          <w:bCs/>
        </w:rPr>
        <w:t>發現</w:t>
      </w:r>
      <w:r>
        <w:rPr>
          <w:rFonts w:ascii="Times New Roman" w:hint="eastAsia"/>
          <w:bCs/>
        </w:rPr>
        <w:t>海委</w:t>
      </w:r>
      <w:proofErr w:type="gramEnd"/>
      <w:r>
        <w:rPr>
          <w:rFonts w:ascii="Times New Roman" w:hint="eastAsia"/>
          <w:bCs/>
        </w:rPr>
        <w:t>會及觀光署</w:t>
      </w:r>
      <w:r w:rsidR="0005723C" w:rsidRPr="00A11636">
        <w:rPr>
          <w:rFonts w:ascii="Times New Roman"/>
          <w:bCs/>
        </w:rPr>
        <w:t>相關措施</w:t>
      </w:r>
      <w:r w:rsidR="00987237" w:rsidRPr="00A11636">
        <w:rPr>
          <w:rFonts w:ascii="Times New Roman"/>
          <w:bCs/>
        </w:rPr>
        <w:t>確有失當</w:t>
      </w:r>
      <w:r w:rsidR="007666F5" w:rsidRPr="00A11636">
        <w:rPr>
          <w:rFonts w:ascii="Times New Roman"/>
          <w:bCs/>
        </w:rPr>
        <w:t>，</w:t>
      </w:r>
      <w:r w:rsidR="009B4868" w:rsidRPr="00A11636">
        <w:rPr>
          <w:rFonts w:ascii="Times New Roman"/>
          <w:bCs/>
        </w:rPr>
        <w:t>肇生</w:t>
      </w:r>
      <w:proofErr w:type="gramStart"/>
      <w:r w:rsidR="00494629" w:rsidRPr="00A11636">
        <w:rPr>
          <w:rFonts w:ascii="Times New Roman"/>
          <w:bCs/>
        </w:rPr>
        <w:t>多項</w:t>
      </w:r>
      <w:r w:rsidR="007666F5" w:rsidRPr="00A11636">
        <w:rPr>
          <w:rFonts w:ascii="Times New Roman"/>
          <w:bCs/>
        </w:rPr>
        <w:t>違</w:t>
      </w:r>
      <w:proofErr w:type="gramEnd"/>
      <w:r w:rsidR="007666F5" w:rsidRPr="00A11636">
        <w:rPr>
          <w:rFonts w:ascii="Times New Roman"/>
          <w:bCs/>
        </w:rPr>
        <w:t>失，應予糾正促其注意改善。茲</w:t>
      </w:r>
      <w:proofErr w:type="gramStart"/>
      <w:r w:rsidR="007666F5" w:rsidRPr="00A11636">
        <w:rPr>
          <w:rFonts w:ascii="Times New Roman"/>
          <w:bCs/>
        </w:rPr>
        <w:t>臚</w:t>
      </w:r>
      <w:proofErr w:type="gramEnd"/>
      <w:r w:rsidR="007666F5" w:rsidRPr="00A11636">
        <w:rPr>
          <w:rFonts w:ascii="Times New Roman"/>
          <w:bCs/>
        </w:rPr>
        <w:t>列</w:t>
      </w:r>
      <w:r w:rsidR="007666F5" w:rsidRPr="00A11636">
        <w:rPr>
          <w:rFonts w:ascii="Times New Roman"/>
          <w:bCs/>
          <w:color w:val="000000" w:themeColor="text1"/>
        </w:rPr>
        <w:t>事實與理由</w:t>
      </w:r>
      <w:r w:rsidR="007666F5" w:rsidRPr="00A11636">
        <w:rPr>
          <w:rFonts w:ascii="Times New Roman"/>
          <w:bCs/>
        </w:rPr>
        <w:t>如下</w:t>
      </w:r>
      <w:r w:rsidR="00B83C6B" w:rsidRPr="00A11636">
        <w:rPr>
          <w:rFonts w:ascii="Times New Roman"/>
          <w:color w:val="000000"/>
          <w:spacing w:val="-6"/>
        </w:rPr>
        <w:t>：</w:t>
      </w:r>
    </w:p>
    <w:p w:rsidR="00DD0DDA" w:rsidRPr="00A11636" w:rsidRDefault="0097297C" w:rsidP="00DD0DDA">
      <w:pPr>
        <w:pStyle w:val="2"/>
        <w:rPr>
          <w:rFonts w:ascii="Times New Roman" w:hAnsi="Times New Roman"/>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7"/>
      <w:bookmarkEnd w:id="38"/>
      <w:bookmarkEnd w:id="39"/>
      <w:bookmarkEnd w:id="40"/>
      <w:bookmarkEnd w:id="41"/>
      <w:bookmarkEnd w:id="42"/>
      <w:r w:rsidRPr="0097297C">
        <w:rPr>
          <w:rFonts w:ascii="Times New Roman" w:hAnsi="Times New Roman" w:hint="eastAsia"/>
        </w:rPr>
        <w:t>小琉球為一珊瑚礁島嶼，該島珊瑚礁生態系統為我國珍貴之生態資源。然自</w:t>
      </w:r>
      <w:r w:rsidRPr="0097297C">
        <w:rPr>
          <w:rFonts w:ascii="Times New Roman" w:hAnsi="Times New Roman" w:hint="eastAsia"/>
        </w:rPr>
        <w:t>105</w:t>
      </w:r>
      <w:r w:rsidRPr="0097297C">
        <w:rPr>
          <w:rFonts w:ascii="Times New Roman" w:hAnsi="Times New Roman" w:hint="eastAsia"/>
        </w:rPr>
        <w:t>年以來，該島珊瑚礁生態系統多年處於衰退或失能狀態，遲未有顯著改善，珊瑚覆蓋率甚已降為全</w:t>
      </w:r>
      <w:proofErr w:type="gramStart"/>
      <w:r w:rsidRPr="0097297C">
        <w:rPr>
          <w:rFonts w:ascii="Times New Roman" w:hAnsi="Times New Roman" w:hint="eastAsia"/>
        </w:rPr>
        <w:t>臺</w:t>
      </w:r>
      <w:proofErr w:type="gramEnd"/>
      <w:r w:rsidRPr="0097297C">
        <w:rPr>
          <w:rFonts w:ascii="Times New Roman" w:hAnsi="Times New Roman" w:hint="eastAsia"/>
        </w:rPr>
        <w:t>最低。</w:t>
      </w:r>
      <w:proofErr w:type="gramStart"/>
      <w:r w:rsidRPr="0097297C">
        <w:rPr>
          <w:rFonts w:ascii="Times New Roman" w:hAnsi="Times New Roman" w:hint="eastAsia"/>
        </w:rPr>
        <w:t>海委會</w:t>
      </w:r>
      <w:proofErr w:type="gramEnd"/>
      <w:r w:rsidRPr="0097297C">
        <w:rPr>
          <w:rFonts w:ascii="Times New Roman" w:hAnsi="Times New Roman" w:hint="eastAsia"/>
        </w:rPr>
        <w:t>長期以來</w:t>
      </w:r>
      <w:proofErr w:type="gramStart"/>
      <w:r w:rsidRPr="0097297C">
        <w:rPr>
          <w:rFonts w:ascii="Times New Roman" w:hAnsi="Times New Roman" w:hint="eastAsia"/>
        </w:rPr>
        <w:t>既知小琉</w:t>
      </w:r>
      <w:proofErr w:type="gramEnd"/>
      <w:r w:rsidRPr="0097297C">
        <w:rPr>
          <w:rFonts w:ascii="Times New Roman" w:hAnsi="Times New Roman" w:hint="eastAsia"/>
        </w:rPr>
        <w:t>球環境承載量評估與海域生態息息相關，自可主動進行評估調查，以保護小琉球自然生態資源，避免海洋生態受到衝擊；惟該會未積極為之，反寄託於觀光主管機關所為之調查作為，任令小琉球周遭海域海洋生態及生物多樣性趨於惡化、劣化，</w:t>
      </w:r>
      <w:proofErr w:type="gramStart"/>
      <w:r w:rsidRPr="0097297C">
        <w:rPr>
          <w:rFonts w:ascii="Times New Roman" w:hAnsi="Times New Roman" w:hint="eastAsia"/>
        </w:rPr>
        <w:t>洵</w:t>
      </w:r>
      <w:proofErr w:type="gramEnd"/>
      <w:r w:rsidRPr="0097297C">
        <w:rPr>
          <w:rFonts w:ascii="Times New Roman" w:hAnsi="Times New Roman" w:hint="eastAsia"/>
        </w:rPr>
        <w:t>有缺失。又，</w:t>
      </w:r>
      <w:proofErr w:type="gramStart"/>
      <w:r w:rsidRPr="0097297C">
        <w:rPr>
          <w:rFonts w:ascii="Times New Roman" w:hAnsi="Times New Roman" w:hint="eastAsia"/>
        </w:rPr>
        <w:t>海委會</w:t>
      </w:r>
      <w:proofErr w:type="gramEnd"/>
      <w:r w:rsidRPr="0097297C">
        <w:rPr>
          <w:rFonts w:ascii="Times New Roman" w:hAnsi="Times New Roman" w:hint="eastAsia"/>
        </w:rPr>
        <w:t>自成立以來，</w:t>
      </w:r>
      <w:proofErr w:type="gramStart"/>
      <w:r w:rsidRPr="0097297C">
        <w:rPr>
          <w:rFonts w:ascii="Times New Roman" w:hAnsi="Times New Roman" w:hint="eastAsia"/>
        </w:rPr>
        <w:t>均未積</w:t>
      </w:r>
      <w:proofErr w:type="gramEnd"/>
      <w:r w:rsidRPr="0097297C">
        <w:rPr>
          <w:rFonts w:ascii="Times New Roman" w:hAnsi="Times New Roman" w:hint="eastAsia"/>
        </w:rPr>
        <w:t>極掌握小琉球珊瑚礁生態系統變化情形，加以</w:t>
      </w:r>
      <w:proofErr w:type="gramStart"/>
      <w:r w:rsidRPr="0097297C">
        <w:rPr>
          <w:rFonts w:ascii="Times New Roman" w:hAnsi="Times New Roman" w:hint="eastAsia"/>
        </w:rPr>
        <w:t>研訂</w:t>
      </w:r>
      <w:proofErr w:type="gramEnd"/>
      <w:r w:rsidRPr="0097297C">
        <w:rPr>
          <w:rFonts w:ascii="Times New Roman" w:hAnsi="Times New Roman" w:hint="eastAsia"/>
        </w:rPr>
        <w:t>適切保育措施，遲至</w:t>
      </w:r>
      <w:r w:rsidRPr="0097297C">
        <w:rPr>
          <w:rFonts w:ascii="Times New Roman" w:hAnsi="Times New Roman" w:hint="eastAsia"/>
        </w:rPr>
        <w:t>110</w:t>
      </w:r>
      <w:r w:rsidRPr="0097297C">
        <w:rPr>
          <w:rFonts w:ascii="Times New Roman" w:hAnsi="Times New Roman" w:hint="eastAsia"/>
        </w:rPr>
        <w:t>及</w:t>
      </w:r>
      <w:r w:rsidRPr="0097297C">
        <w:rPr>
          <w:rFonts w:ascii="Times New Roman" w:hAnsi="Times New Roman" w:hint="eastAsia"/>
        </w:rPr>
        <w:t>111</w:t>
      </w:r>
      <w:r w:rsidRPr="0097297C">
        <w:rPr>
          <w:rFonts w:ascii="Times New Roman" w:hAnsi="Times New Roman" w:hint="eastAsia"/>
        </w:rPr>
        <w:t>年方辦理珊瑚監測計畫及珊瑚移植復育措施，亦有怠失。海洋</w:t>
      </w:r>
      <w:proofErr w:type="gramStart"/>
      <w:r w:rsidRPr="0097297C">
        <w:rPr>
          <w:rFonts w:ascii="Times New Roman" w:hAnsi="Times New Roman" w:hint="eastAsia"/>
        </w:rPr>
        <w:t>保育法業於</w:t>
      </w:r>
      <w:proofErr w:type="gramEnd"/>
      <w:r w:rsidRPr="0097297C">
        <w:rPr>
          <w:rFonts w:ascii="Times New Roman" w:hAnsi="Times New Roman" w:hint="eastAsia"/>
        </w:rPr>
        <w:t>113</w:t>
      </w:r>
      <w:r w:rsidRPr="0097297C">
        <w:rPr>
          <w:rFonts w:ascii="Times New Roman" w:hAnsi="Times New Roman" w:hint="eastAsia"/>
        </w:rPr>
        <w:t>年</w:t>
      </w:r>
      <w:r w:rsidRPr="0097297C">
        <w:rPr>
          <w:rFonts w:ascii="Times New Roman" w:hAnsi="Times New Roman" w:hint="eastAsia"/>
        </w:rPr>
        <w:t>7</w:t>
      </w:r>
      <w:r w:rsidRPr="0097297C">
        <w:rPr>
          <w:rFonts w:ascii="Times New Roman" w:hAnsi="Times New Roman" w:hint="eastAsia"/>
        </w:rPr>
        <w:t>月</w:t>
      </w:r>
      <w:r w:rsidRPr="0097297C">
        <w:rPr>
          <w:rFonts w:ascii="Times New Roman" w:hAnsi="Times New Roman" w:hint="eastAsia"/>
        </w:rPr>
        <w:t>31</w:t>
      </w:r>
      <w:r w:rsidRPr="0097297C">
        <w:rPr>
          <w:rFonts w:ascii="Times New Roman" w:hAnsi="Times New Roman" w:hint="eastAsia"/>
        </w:rPr>
        <w:t>日經總統公告，</w:t>
      </w:r>
      <w:proofErr w:type="gramStart"/>
      <w:r w:rsidRPr="0097297C">
        <w:rPr>
          <w:rFonts w:ascii="Times New Roman" w:hAnsi="Times New Roman" w:hint="eastAsia"/>
        </w:rPr>
        <w:t>海委</w:t>
      </w:r>
      <w:proofErr w:type="gramEnd"/>
      <w:r w:rsidRPr="0097297C">
        <w:rPr>
          <w:rFonts w:ascii="Times New Roman" w:hAnsi="Times New Roman" w:hint="eastAsia"/>
        </w:rPr>
        <w:t>會作為海洋生態環境保護及海洋生物保育中央主管機關，後續更應積極</w:t>
      </w:r>
      <w:proofErr w:type="gramStart"/>
      <w:r w:rsidRPr="0097297C">
        <w:rPr>
          <w:rFonts w:ascii="Times New Roman" w:hAnsi="Times New Roman" w:hint="eastAsia"/>
        </w:rPr>
        <w:t>研議</w:t>
      </w:r>
      <w:proofErr w:type="gramEnd"/>
      <w:r w:rsidRPr="0097297C">
        <w:rPr>
          <w:rFonts w:ascii="Times New Roman" w:hAnsi="Times New Roman" w:hint="eastAsia"/>
        </w:rPr>
        <w:t>整體性規劃，以強化小琉球</w:t>
      </w:r>
      <w:r w:rsidRPr="0097297C">
        <w:rPr>
          <w:rFonts w:ascii="Times New Roman" w:hAnsi="Times New Roman" w:hint="eastAsia"/>
        </w:rPr>
        <w:lastRenderedPageBreak/>
        <w:t>珊瑚復育及相關海洋環境保育行動。</w:t>
      </w:r>
    </w:p>
    <w:p w:rsidR="0097297C" w:rsidRDefault="0097297C" w:rsidP="0097297C">
      <w:pPr>
        <w:pStyle w:val="3"/>
        <w:numPr>
          <w:ilvl w:val="2"/>
          <w:numId w:val="1"/>
        </w:numPr>
      </w:pPr>
      <w:bookmarkStart w:id="53" w:name="_Hlk151712999"/>
      <w:r>
        <w:rPr>
          <w:rFonts w:hint="eastAsia"/>
        </w:rPr>
        <w:t>海洋委員會組織法第1條及第2條分別規定：「</w:t>
      </w:r>
      <w:r w:rsidRPr="00820E1F">
        <w:rPr>
          <w:rFonts w:hint="eastAsia"/>
        </w:rPr>
        <w:t>行政院為統合海洋相關政策規劃、協調及推動，並辦理海域與海岸巡防及海洋保育、研究業務，特設海洋委員會。</w:t>
      </w:r>
      <w:r>
        <w:rPr>
          <w:rFonts w:hint="eastAsia"/>
        </w:rPr>
        <w:t>」、「本會掌理下列事項：一、海洋總體政策與基本法令之統合規劃、審議、協調及推動。二、海洋產業發展之統合規劃、協調及推動。三、海洋環境保護、資源管理、永續發展、生物多樣性保育與污染防治之統合規劃、審議、協調及推動。四、海域與海岸安全統合規劃、審議、協調及推動。五、海洋文化與教育之統合規劃、協調及推動。六、海洋科學研究與技術發展之統合規劃、審議、協調及推動。…</w:t>
      </w:r>
      <w:proofErr w:type="gramStart"/>
      <w:r>
        <w:rPr>
          <w:rFonts w:hint="eastAsia"/>
        </w:rPr>
        <w:t>…</w:t>
      </w:r>
      <w:proofErr w:type="gramEnd"/>
      <w:r>
        <w:rPr>
          <w:rFonts w:hint="eastAsia"/>
        </w:rPr>
        <w:t>。」是</w:t>
      </w:r>
      <w:proofErr w:type="gramStart"/>
      <w:r>
        <w:rPr>
          <w:rFonts w:hint="eastAsia"/>
        </w:rPr>
        <w:t>以</w:t>
      </w:r>
      <w:proofErr w:type="gramEnd"/>
      <w:r>
        <w:rPr>
          <w:rFonts w:hint="eastAsia"/>
        </w:rPr>
        <w:t>，</w:t>
      </w:r>
      <w:proofErr w:type="gramStart"/>
      <w:r>
        <w:rPr>
          <w:rFonts w:hint="eastAsia"/>
        </w:rPr>
        <w:t>海委</w:t>
      </w:r>
      <w:proofErr w:type="gramEnd"/>
      <w:r>
        <w:rPr>
          <w:rFonts w:hint="eastAsia"/>
        </w:rPr>
        <w:t>會針對海洋環境生態保育與水產資源維護，確有規劃管理之責，</w:t>
      </w:r>
      <w:proofErr w:type="gramStart"/>
      <w:r>
        <w:rPr>
          <w:rFonts w:hint="eastAsia"/>
        </w:rPr>
        <w:t>先予敘</w:t>
      </w:r>
      <w:proofErr w:type="gramEnd"/>
      <w:r>
        <w:rPr>
          <w:rFonts w:hint="eastAsia"/>
        </w:rPr>
        <w:t>明。</w:t>
      </w:r>
      <w:r>
        <w:t xml:space="preserve"> </w:t>
      </w:r>
    </w:p>
    <w:p w:rsidR="0097297C" w:rsidRDefault="0097297C" w:rsidP="00F219A7">
      <w:pPr>
        <w:pStyle w:val="3"/>
        <w:numPr>
          <w:ilvl w:val="2"/>
          <w:numId w:val="1"/>
        </w:numPr>
      </w:pPr>
      <w:r w:rsidRPr="00930824">
        <w:rPr>
          <w:rFonts w:hint="eastAsia"/>
        </w:rPr>
        <w:t>小琉球為表面被珊瑚石灰岩覆蓋，海岸被隆起珊瑚礁圍繞之珊瑚礁島，石灰岩洞地形及珊瑚礁海岸地形遍佈全島，島上隨處</w:t>
      </w:r>
      <w:proofErr w:type="gramStart"/>
      <w:r w:rsidRPr="00930824">
        <w:rPr>
          <w:rFonts w:hint="eastAsia"/>
        </w:rPr>
        <w:t>可見出露的</w:t>
      </w:r>
      <w:proofErr w:type="gramEnd"/>
      <w:r w:rsidRPr="00930824">
        <w:rPr>
          <w:rFonts w:hint="eastAsia"/>
        </w:rPr>
        <w:t>珊瑚礁石灰岩，因其得天獨厚的海洋生態資源以及方便的交通地理位置</w:t>
      </w:r>
      <w:r>
        <w:rPr>
          <w:rFonts w:hint="eastAsia"/>
        </w:rPr>
        <w:t>(詳下表)</w:t>
      </w:r>
      <w:r w:rsidRPr="00930824">
        <w:rPr>
          <w:rFonts w:hint="eastAsia"/>
        </w:rPr>
        <w:t>，成為臺灣觀光熱點。珊瑚礁生態系多位於熱帶與亞熱帶淺水海域，因其豐富的生物多樣性，而有「海中熱帶雨林」之稱，該生態系依</w:t>
      </w:r>
      <w:proofErr w:type="gramStart"/>
      <w:r w:rsidRPr="00930824">
        <w:rPr>
          <w:rFonts w:hint="eastAsia"/>
        </w:rPr>
        <w:t>其底質可</w:t>
      </w:r>
      <w:proofErr w:type="gramEnd"/>
      <w:r w:rsidRPr="00930824">
        <w:rPr>
          <w:rFonts w:hint="eastAsia"/>
        </w:rPr>
        <w:t>分為硬珊瑚、軟珊瑚、柳珊瑚、大型藻、毛叢藻、</w:t>
      </w:r>
      <w:proofErr w:type="gramStart"/>
      <w:r w:rsidRPr="00930824">
        <w:rPr>
          <w:rFonts w:hint="eastAsia"/>
        </w:rPr>
        <w:t>殼狀珊</w:t>
      </w:r>
      <w:proofErr w:type="gramEnd"/>
      <w:r w:rsidRPr="00930824">
        <w:rPr>
          <w:rFonts w:hint="eastAsia"/>
        </w:rPr>
        <w:t>瑚藻、海膽、海參、硨磲貝、海綿、與岩石、沙等。當藻類大量覆蓋時，會影響珊瑚的生長空間與光照，間接導致珊瑚死亡，造成珊瑚族群量下降，故</w:t>
      </w:r>
      <w:proofErr w:type="gramStart"/>
      <w:r w:rsidRPr="00930824">
        <w:rPr>
          <w:rFonts w:hint="eastAsia"/>
        </w:rPr>
        <w:t>國際間為監測</w:t>
      </w:r>
      <w:proofErr w:type="gramEnd"/>
      <w:r w:rsidRPr="00930824">
        <w:rPr>
          <w:rFonts w:hint="eastAsia"/>
        </w:rPr>
        <w:t>珊瑚礁生態系情形，常以珊瑚覆蓋率</w:t>
      </w:r>
      <w:r w:rsidRPr="00930824">
        <w:rPr>
          <w:rStyle w:val="afe"/>
        </w:rPr>
        <w:footnoteReference w:id="1"/>
      </w:r>
      <w:r w:rsidRPr="00930824">
        <w:rPr>
          <w:rFonts w:hint="eastAsia"/>
        </w:rPr>
        <w:t>、藻類覆蓋率，和「珊瑚/藻類」比例</w:t>
      </w:r>
      <w:r w:rsidRPr="00930824">
        <w:rPr>
          <w:rFonts w:hint="eastAsia"/>
        </w:rPr>
        <w:lastRenderedPageBreak/>
        <w:t>計算並搭配生態狀況，將珊瑚礁生態系的健康程度分為健康、穩定、衰退及失能等4種狀態</w:t>
      </w:r>
      <w:r w:rsidRPr="00930824">
        <w:rPr>
          <w:rStyle w:val="afe"/>
        </w:rPr>
        <w:footnoteReference w:id="2"/>
      </w:r>
      <w:r w:rsidRPr="00930824">
        <w:rPr>
          <w:rFonts w:hint="eastAsia"/>
        </w:rPr>
        <w:t>。</w:t>
      </w:r>
    </w:p>
    <w:tbl>
      <w:tblPr>
        <w:tblStyle w:val="af8"/>
        <w:tblW w:w="0" w:type="auto"/>
        <w:tblInd w:w="-5" w:type="dxa"/>
        <w:tblLook w:val="04A0" w:firstRow="1" w:lastRow="0" w:firstColumn="1" w:lastColumn="0" w:noHBand="0" w:noVBand="1"/>
      </w:tblPr>
      <w:tblGrid>
        <w:gridCol w:w="5257"/>
        <w:gridCol w:w="3582"/>
      </w:tblGrid>
      <w:tr w:rsidR="0097297C" w:rsidRPr="007353E2" w:rsidTr="00873E26">
        <w:trPr>
          <w:trHeight w:val="531"/>
          <w:tblHeader/>
        </w:trPr>
        <w:tc>
          <w:tcPr>
            <w:tcW w:w="5257" w:type="dxa"/>
            <w:shd w:val="clear" w:color="auto" w:fill="EAF1DD" w:themeFill="accent3" w:themeFillTint="33"/>
            <w:vAlign w:val="center"/>
          </w:tcPr>
          <w:p w:rsidR="0097297C" w:rsidRPr="007353E2" w:rsidRDefault="0097297C" w:rsidP="00873E26">
            <w:pPr>
              <w:pStyle w:val="aff4"/>
              <w:spacing w:line="320" w:lineRule="exact"/>
              <w:jc w:val="center"/>
              <w:rPr>
                <w:rFonts w:ascii="標楷體" w:eastAsia="標楷體" w:hAnsi="標楷體"/>
                <w:sz w:val="28"/>
                <w:szCs w:val="32"/>
              </w:rPr>
            </w:pPr>
            <w:r w:rsidRPr="007353E2">
              <w:rPr>
                <w:rFonts w:ascii="標楷體" w:eastAsia="標楷體" w:hAnsi="標楷體" w:hint="eastAsia"/>
                <w:sz w:val="28"/>
                <w:szCs w:val="32"/>
              </w:rPr>
              <w:t>小琉球島嶼圖</w:t>
            </w:r>
          </w:p>
        </w:tc>
        <w:tc>
          <w:tcPr>
            <w:tcW w:w="3582" w:type="dxa"/>
            <w:shd w:val="clear" w:color="auto" w:fill="EAF1DD" w:themeFill="accent3" w:themeFillTint="33"/>
            <w:vAlign w:val="center"/>
          </w:tcPr>
          <w:p w:rsidR="0097297C" w:rsidRPr="007353E2" w:rsidRDefault="0097297C" w:rsidP="00873E26">
            <w:pPr>
              <w:pStyle w:val="aff4"/>
              <w:spacing w:line="320" w:lineRule="exact"/>
              <w:jc w:val="center"/>
              <w:rPr>
                <w:rFonts w:ascii="標楷體" w:eastAsia="標楷體" w:hAnsi="標楷體"/>
                <w:sz w:val="28"/>
                <w:szCs w:val="32"/>
              </w:rPr>
            </w:pPr>
            <w:r w:rsidRPr="007353E2">
              <w:rPr>
                <w:rFonts w:ascii="標楷體" w:eastAsia="標楷體" w:hAnsi="標楷體" w:hint="eastAsia"/>
                <w:sz w:val="28"/>
                <w:szCs w:val="32"/>
              </w:rPr>
              <w:t>小琉球相較臺灣本島位置</w:t>
            </w:r>
          </w:p>
        </w:tc>
      </w:tr>
      <w:tr w:rsidR="0097297C" w:rsidRPr="007353E2" w:rsidTr="00873E26">
        <w:trPr>
          <w:trHeight w:val="531"/>
        </w:trPr>
        <w:tc>
          <w:tcPr>
            <w:tcW w:w="5257" w:type="dxa"/>
          </w:tcPr>
          <w:p w:rsidR="0097297C" w:rsidRPr="007353E2" w:rsidRDefault="0097297C" w:rsidP="00873E26">
            <w:pPr>
              <w:pStyle w:val="aff4"/>
              <w:jc w:val="center"/>
              <w:rPr>
                <w:rFonts w:ascii="標楷體" w:eastAsia="標楷體" w:hAnsi="標楷體"/>
                <w:sz w:val="28"/>
                <w:szCs w:val="32"/>
              </w:rPr>
            </w:pPr>
            <w:r>
              <w:rPr>
                <w:rFonts w:ascii="標楷體" w:eastAsia="標楷體" w:hAnsi="標楷體"/>
                <w:noProof/>
                <w:color w:val="000000"/>
                <w:spacing w:val="-6"/>
                <w:sz w:val="32"/>
                <w:szCs w:val="32"/>
              </w:rPr>
              <w:drawing>
                <wp:inline distT="0" distB="0" distL="0" distR="0" wp14:anchorId="0906F58D" wp14:editId="6B06D3BF">
                  <wp:extent cx="3057099" cy="242233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099" cy="2422331"/>
                          </a:xfrm>
                          <a:prstGeom prst="rect">
                            <a:avLst/>
                          </a:prstGeom>
                          <a:noFill/>
                        </pic:spPr>
                      </pic:pic>
                    </a:graphicData>
                  </a:graphic>
                </wp:inline>
              </w:drawing>
            </w:r>
          </w:p>
        </w:tc>
        <w:tc>
          <w:tcPr>
            <w:tcW w:w="3582" w:type="dxa"/>
          </w:tcPr>
          <w:p w:rsidR="0097297C" w:rsidRPr="007353E2" w:rsidRDefault="0097297C" w:rsidP="00873E26">
            <w:pPr>
              <w:pStyle w:val="aff4"/>
              <w:jc w:val="center"/>
              <w:rPr>
                <w:rFonts w:ascii="標楷體" w:eastAsia="標楷體" w:hAnsi="標楷體"/>
                <w:sz w:val="28"/>
                <w:szCs w:val="32"/>
              </w:rPr>
            </w:pPr>
            <w:r>
              <w:rPr>
                <w:noProof/>
              </w:rPr>
              <w:drawing>
                <wp:inline distT="0" distB="0" distL="0" distR="0" wp14:anchorId="7FF6490F" wp14:editId="265DBC43">
                  <wp:extent cx="2013045" cy="2444916"/>
                  <wp:effectExtent l="0" t="0" r="635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13661" cy="2445664"/>
                          </a:xfrm>
                          <a:prstGeom prst="rect">
                            <a:avLst/>
                          </a:prstGeom>
                        </pic:spPr>
                      </pic:pic>
                    </a:graphicData>
                  </a:graphic>
                </wp:inline>
              </w:drawing>
            </w:r>
          </w:p>
        </w:tc>
      </w:tr>
    </w:tbl>
    <w:p w:rsidR="00F219A7" w:rsidRDefault="00F219A7" w:rsidP="00F219A7">
      <w:pPr>
        <w:pStyle w:val="a2"/>
        <w:spacing w:before="0" w:after="0"/>
      </w:pPr>
      <w:r w:rsidRPr="00F219A7">
        <w:rPr>
          <w:rFonts w:hint="eastAsia"/>
        </w:rPr>
        <w:t>小琉球地理位置圖</w:t>
      </w:r>
    </w:p>
    <w:p w:rsidR="0097297C" w:rsidRDefault="00F219A7" w:rsidP="00F219A7">
      <w:pPr>
        <w:pStyle w:val="3"/>
        <w:numPr>
          <w:ilvl w:val="0"/>
          <w:numId w:val="0"/>
        </w:numPr>
        <w:spacing w:line="320" w:lineRule="exact"/>
        <w:jc w:val="center"/>
        <w:rPr>
          <w:sz w:val="24"/>
        </w:rPr>
      </w:pPr>
      <w:r>
        <w:rPr>
          <w:rFonts w:hint="eastAsia"/>
          <w:sz w:val="24"/>
        </w:rPr>
        <w:t>(</w:t>
      </w:r>
      <w:r w:rsidR="0097297C" w:rsidRPr="00F457C4">
        <w:rPr>
          <w:rFonts w:hint="eastAsia"/>
          <w:sz w:val="24"/>
        </w:rPr>
        <w:t>資料來源：屏東縣琉球鄉公所網站</w:t>
      </w:r>
      <w:r>
        <w:rPr>
          <w:rFonts w:hint="eastAsia"/>
          <w:sz w:val="24"/>
        </w:rPr>
        <w:t>)</w:t>
      </w:r>
    </w:p>
    <w:p w:rsidR="0097297C" w:rsidRPr="008D388D" w:rsidRDefault="0097297C" w:rsidP="0097297C">
      <w:pPr>
        <w:pStyle w:val="3"/>
        <w:numPr>
          <w:ilvl w:val="0"/>
          <w:numId w:val="0"/>
        </w:numPr>
        <w:ind w:left="680"/>
      </w:pPr>
    </w:p>
    <w:p w:rsidR="0097297C" w:rsidRPr="006932A1" w:rsidRDefault="0097297C" w:rsidP="0097297C">
      <w:pPr>
        <w:pStyle w:val="3"/>
        <w:numPr>
          <w:ilvl w:val="2"/>
          <w:numId w:val="1"/>
        </w:numPr>
      </w:pPr>
      <w:r w:rsidRPr="006932A1">
        <w:rPr>
          <w:rFonts w:hint="eastAsia"/>
        </w:rPr>
        <w:t>全球暖化等氣候變遷，係影響珊瑚存活之因素之一，水溫過高形成的熱壓力將造成珊瑚白化，後續就算恢復，仍需數年不等的時間。西元(國際年分以西元表示之，下同)2016年(即民國105年)因聖嬰現象導致海水水溫異常升高，引發全球珊瑚大白化事件，據臺灣環境資訊協會「臺灣珊瑚礁體檢12年成果報告(2009-2020)」資料顯示，該次珊瑚大白化事件，墾丁、綠島、小琉球和</w:t>
      </w:r>
      <w:proofErr w:type="gramStart"/>
      <w:r w:rsidRPr="006932A1">
        <w:rPr>
          <w:rFonts w:hint="eastAsia"/>
        </w:rPr>
        <w:t>澎湖嶼坪均</w:t>
      </w:r>
      <w:proofErr w:type="gramEnd"/>
      <w:r w:rsidRPr="006932A1">
        <w:rPr>
          <w:rFonts w:hint="eastAsia"/>
        </w:rPr>
        <w:t>出現活珊瑚覆蓋率下降的情形，其中墾丁、綠島和</w:t>
      </w:r>
      <w:proofErr w:type="gramStart"/>
      <w:r w:rsidRPr="006932A1">
        <w:rPr>
          <w:rFonts w:hint="eastAsia"/>
        </w:rPr>
        <w:t>澎湖嶼</w:t>
      </w:r>
      <w:proofErr w:type="gramEnd"/>
      <w:r w:rsidRPr="006932A1">
        <w:rPr>
          <w:rFonts w:hint="eastAsia"/>
        </w:rPr>
        <w:t>坪的珊瑚礁在珊瑚白化後的1至3年內可觀察到活珊瑚覆蓋率有所回復；但小琉球珊瑚礁104年以前，活珊瑚礁覆蓋率約有30%至50%，105年珊瑚白化事件發生後，</w:t>
      </w:r>
      <w:r w:rsidRPr="006932A1">
        <w:rPr>
          <w:rFonts w:hint="eastAsia"/>
        </w:rPr>
        <w:lastRenderedPageBreak/>
        <w:t>珊瑚覆蓋率即大幅下降，平均僅剩10%至20%，且直到109年都未有明顯的回復跡象。又</w:t>
      </w:r>
      <w:proofErr w:type="gramStart"/>
      <w:r w:rsidRPr="006932A1">
        <w:rPr>
          <w:rFonts w:hint="eastAsia"/>
        </w:rPr>
        <w:t>檢視海委會</w:t>
      </w:r>
      <w:proofErr w:type="gramEnd"/>
      <w:r w:rsidRPr="006932A1">
        <w:rPr>
          <w:rFonts w:hint="eastAsia"/>
        </w:rPr>
        <w:t>委託國立海洋生物博物館110至112年全國各海域珊瑚監測情形(詳下表)，與小琉球氣候相似之墾丁，整體珊瑚平均覆蓋率達30.7%，同為離島的綠島、蘭嶼及澎湖亦分別達59.1%、41.1%及40.1%，</w:t>
      </w:r>
      <w:proofErr w:type="gramStart"/>
      <w:r w:rsidRPr="006932A1">
        <w:rPr>
          <w:rFonts w:hint="eastAsia"/>
        </w:rPr>
        <w:t>然小琉</w:t>
      </w:r>
      <w:proofErr w:type="gramEnd"/>
      <w:r w:rsidRPr="006932A1">
        <w:rPr>
          <w:rFonts w:hint="eastAsia"/>
        </w:rPr>
        <w:t>球平均珊瑚礁覆蓋率僅為11.9%，為全臺最低。是</w:t>
      </w:r>
      <w:proofErr w:type="gramStart"/>
      <w:r w:rsidRPr="006932A1">
        <w:rPr>
          <w:rFonts w:hint="eastAsia"/>
        </w:rPr>
        <w:t>以</w:t>
      </w:r>
      <w:proofErr w:type="gramEnd"/>
      <w:r w:rsidRPr="006932A1">
        <w:rPr>
          <w:rFonts w:hint="eastAsia"/>
        </w:rPr>
        <w:t>，</w:t>
      </w:r>
      <w:r w:rsidRPr="006932A1">
        <w:rPr>
          <w:rFonts w:hint="eastAsia"/>
          <w:u w:val="single"/>
        </w:rPr>
        <w:t>氣候變遷造成之高溫衝擊雖對珊瑚礁系統形成生存壓力，惟相較臺灣</w:t>
      </w:r>
      <w:proofErr w:type="gramStart"/>
      <w:r w:rsidRPr="006932A1">
        <w:rPr>
          <w:rFonts w:hint="eastAsia"/>
          <w:u w:val="single"/>
        </w:rPr>
        <w:t>其他樣</w:t>
      </w:r>
      <w:proofErr w:type="gramEnd"/>
      <w:r w:rsidRPr="006932A1">
        <w:rPr>
          <w:rFonts w:hint="eastAsia"/>
          <w:u w:val="single"/>
        </w:rPr>
        <w:t>點，小琉球珊瑚礁復原情形確實較為緩慢，小琉球珊瑚礁系統遲難復甦，亦顯示</w:t>
      </w:r>
      <w:proofErr w:type="gramStart"/>
      <w:r w:rsidRPr="006932A1">
        <w:rPr>
          <w:rFonts w:hint="eastAsia"/>
          <w:u w:val="single"/>
        </w:rPr>
        <w:t>該地恐</w:t>
      </w:r>
      <w:proofErr w:type="gramEnd"/>
      <w:r w:rsidRPr="006932A1">
        <w:rPr>
          <w:rFonts w:hint="eastAsia"/>
          <w:u w:val="single"/>
        </w:rPr>
        <w:t>仍持續存在其他生存威脅。</w:t>
      </w:r>
    </w:p>
    <w:p w:rsidR="0097297C" w:rsidRDefault="0097297C" w:rsidP="0097297C">
      <w:pPr>
        <w:pStyle w:val="a4"/>
        <w:ind w:left="480" w:hanging="480"/>
        <w:jc w:val="center"/>
      </w:pPr>
      <w:r>
        <w:rPr>
          <w:rFonts w:hint="eastAsia"/>
        </w:rPr>
        <w:t>110至112年臺灣及其島嶼珊瑚覆蓋率情形</w:t>
      </w:r>
    </w:p>
    <w:p w:rsidR="0097297C" w:rsidRDefault="0097297C" w:rsidP="0097297C">
      <w:pPr>
        <w:pStyle w:val="3"/>
        <w:keepNext/>
        <w:numPr>
          <w:ilvl w:val="0"/>
          <w:numId w:val="0"/>
        </w:numPr>
        <w:spacing w:line="320" w:lineRule="exact"/>
        <w:ind w:rightChars="-103" w:right="-350"/>
        <w:jc w:val="right"/>
      </w:pPr>
      <w:r w:rsidRPr="004F511C">
        <w:rPr>
          <w:rFonts w:hint="eastAsia"/>
          <w:sz w:val="24"/>
        </w:rPr>
        <w:t>單位</w:t>
      </w:r>
      <w:r>
        <w:rPr>
          <w:rFonts w:hint="eastAsia"/>
          <w:sz w:val="24"/>
        </w:rPr>
        <w:t>：%</w:t>
      </w:r>
    </w:p>
    <w:tbl>
      <w:tblPr>
        <w:tblW w:w="8930" w:type="dxa"/>
        <w:tblInd w:w="279" w:type="dxa"/>
        <w:tblLayout w:type="fixed"/>
        <w:tblLook w:val="04A0" w:firstRow="1" w:lastRow="0" w:firstColumn="1" w:lastColumn="0" w:noHBand="0" w:noVBand="1"/>
      </w:tblPr>
      <w:tblGrid>
        <w:gridCol w:w="709"/>
        <w:gridCol w:w="1027"/>
        <w:gridCol w:w="1028"/>
        <w:gridCol w:w="1027"/>
        <w:gridCol w:w="1028"/>
        <w:gridCol w:w="1028"/>
        <w:gridCol w:w="1027"/>
        <w:gridCol w:w="1028"/>
        <w:gridCol w:w="1028"/>
      </w:tblGrid>
      <w:tr w:rsidR="0097297C" w:rsidRPr="00923980" w:rsidTr="00873E26">
        <w:trPr>
          <w:trHeight w:val="274"/>
          <w:tblHeader/>
        </w:trPr>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ind w:leftChars="-16" w:left="-54"/>
              <w:jc w:val="center"/>
              <w:rPr>
                <w:rFonts w:ascii="Times New Roman"/>
                <w:color w:val="000000"/>
                <w:spacing w:val="-30"/>
                <w:kern w:val="0"/>
                <w:sz w:val="28"/>
                <w:szCs w:val="28"/>
              </w:rPr>
            </w:pPr>
            <w:r w:rsidRPr="00923980">
              <w:rPr>
                <w:rFonts w:ascii="Times New Roman" w:hint="eastAsia"/>
                <w:color w:val="000000"/>
                <w:spacing w:val="-30"/>
                <w:kern w:val="0"/>
                <w:sz w:val="28"/>
                <w:szCs w:val="28"/>
              </w:rPr>
              <w:t>年度</w:t>
            </w:r>
          </w:p>
        </w:tc>
        <w:tc>
          <w:tcPr>
            <w:tcW w:w="1027"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sidRPr="00923980">
              <w:rPr>
                <w:rFonts w:ascii="Times New Roman"/>
                <w:color w:val="000000"/>
                <w:spacing w:val="-30"/>
                <w:kern w:val="0"/>
                <w:sz w:val="28"/>
                <w:szCs w:val="28"/>
              </w:rPr>
              <w:t>東北角</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花東</w:t>
            </w:r>
          </w:p>
        </w:tc>
        <w:tc>
          <w:tcPr>
            <w:tcW w:w="1027"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綠島</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蘭嶼</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墾丁</w:t>
            </w:r>
          </w:p>
        </w:tc>
        <w:tc>
          <w:tcPr>
            <w:tcW w:w="1027"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sidRPr="00923980">
              <w:rPr>
                <w:rFonts w:ascii="Times New Roman"/>
                <w:color w:val="000000"/>
                <w:spacing w:val="-30"/>
                <w:kern w:val="0"/>
                <w:sz w:val="28"/>
                <w:szCs w:val="28"/>
              </w:rPr>
              <w:t>小琉球</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澎湖</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sidRPr="00923980">
              <w:rPr>
                <w:rFonts w:ascii="Times New Roman"/>
                <w:color w:val="000000"/>
                <w:spacing w:val="-30"/>
                <w:kern w:val="0"/>
                <w:sz w:val="28"/>
                <w:szCs w:val="28"/>
              </w:rPr>
              <w:t>年平均</w:t>
            </w:r>
          </w:p>
        </w:tc>
      </w:tr>
      <w:tr w:rsidR="0097297C" w:rsidRPr="00923980" w:rsidTr="00873E26">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Pr>
                <w:rFonts w:ascii="Times New Roman" w:hint="eastAsia"/>
                <w:color w:val="000000"/>
                <w:spacing w:val="-20"/>
                <w:kern w:val="0"/>
                <w:sz w:val="28"/>
                <w:szCs w:val="28"/>
              </w:rPr>
              <w:t>110</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24.3</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38.8</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color w:val="000000"/>
                <w:spacing w:val="-20"/>
                <w:kern w:val="0"/>
                <w:sz w:val="28"/>
                <w:szCs w:val="28"/>
              </w:rPr>
              <w:t>-</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color w:val="000000"/>
                <w:spacing w:val="-20"/>
                <w:kern w:val="0"/>
                <w:sz w:val="28"/>
                <w:szCs w:val="28"/>
              </w:rPr>
              <w:t>-</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30.7</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7.9</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34.3</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keepNext/>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27.2</w:t>
            </w:r>
          </w:p>
        </w:tc>
      </w:tr>
      <w:tr w:rsidR="0097297C" w:rsidRPr="00923980" w:rsidTr="00873E26">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Pr>
                <w:rFonts w:ascii="Times New Roman" w:hint="eastAsia"/>
                <w:color w:val="000000"/>
                <w:spacing w:val="-20"/>
                <w:kern w:val="0"/>
                <w:sz w:val="28"/>
                <w:szCs w:val="28"/>
              </w:rPr>
              <w:t>111</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25.5</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41.9</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56.8</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34.5</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33.5</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12.9</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40.9</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keepNext/>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35.1</w:t>
            </w:r>
          </w:p>
        </w:tc>
      </w:tr>
      <w:tr w:rsidR="0097297C" w:rsidRPr="00923980" w:rsidTr="00873E26">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Pr>
                <w:rFonts w:ascii="Times New Roman" w:hint="eastAsia"/>
                <w:color w:val="000000"/>
                <w:spacing w:val="-20"/>
                <w:kern w:val="0"/>
                <w:sz w:val="28"/>
                <w:szCs w:val="28"/>
              </w:rPr>
              <w:t>112</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23.9</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45.6</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61.3</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47.6</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27.8</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14.8</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45.2</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keepNext/>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38.0</w:t>
            </w:r>
          </w:p>
        </w:tc>
      </w:tr>
      <w:tr w:rsidR="0097297C" w:rsidRPr="00923980" w:rsidTr="00873E26">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97C" w:rsidRDefault="0097297C" w:rsidP="00873E26">
            <w:pPr>
              <w:widowControl/>
              <w:overflowPunct/>
              <w:autoSpaceDE/>
              <w:autoSpaceDN/>
              <w:spacing w:line="320" w:lineRule="exact"/>
              <w:ind w:leftChars="-30" w:left="-1" w:rightChars="-32" w:right="-109" w:hangingChars="39" w:hanging="101"/>
              <w:jc w:val="center"/>
              <w:rPr>
                <w:rFonts w:ascii="Times New Roman"/>
                <w:color w:val="000000"/>
                <w:spacing w:val="-20"/>
                <w:kern w:val="0"/>
                <w:sz w:val="28"/>
                <w:szCs w:val="28"/>
              </w:rPr>
            </w:pPr>
            <w:r>
              <w:rPr>
                <w:rFonts w:ascii="Times New Roman" w:hint="eastAsia"/>
                <w:color w:val="000000"/>
                <w:spacing w:val="-20"/>
                <w:kern w:val="0"/>
                <w:sz w:val="28"/>
                <w:szCs w:val="28"/>
              </w:rPr>
              <w:t>平均</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widowControl/>
              <w:overflowPunct/>
              <w:autoSpaceDE/>
              <w:autoSpaceDN/>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24.6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42.1 </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59.1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41.1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30.7 </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11.9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40.1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33.4 </w:t>
            </w:r>
          </w:p>
        </w:tc>
      </w:tr>
    </w:tbl>
    <w:p w:rsidR="0097297C" w:rsidRPr="00923980" w:rsidRDefault="0097297C" w:rsidP="0097297C">
      <w:pPr>
        <w:pStyle w:val="3"/>
        <w:numPr>
          <w:ilvl w:val="0"/>
          <w:numId w:val="0"/>
        </w:numPr>
        <w:spacing w:line="320" w:lineRule="exact"/>
        <w:ind w:leftChars="86" w:left="712" w:rightChars="-194" w:right="-660" w:hangingChars="161" w:hanging="419"/>
        <w:rPr>
          <w:sz w:val="24"/>
        </w:rPr>
      </w:pPr>
      <w:r w:rsidRPr="00A910B8">
        <w:rPr>
          <w:rFonts w:hint="eastAsia"/>
          <w:sz w:val="24"/>
        </w:rPr>
        <w:t>備註：</w:t>
      </w:r>
      <w:r>
        <w:rPr>
          <w:rFonts w:hint="eastAsia"/>
          <w:sz w:val="24"/>
        </w:rPr>
        <w:t>由</w:t>
      </w:r>
      <w:proofErr w:type="gramStart"/>
      <w:r w:rsidRPr="00923980">
        <w:rPr>
          <w:rFonts w:hint="eastAsia"/>
          <w:sz w:val="24"/>
        </w:rPr>
        <w:t>海保署</w:t>
      </w:r>
      <w:proofErr w:type="gramEnd"/>
      <w:r w:rsidRPr="00923980">
        <w:rPr>
          <w:rFonts w:hint="eastAsia"/>
          <w:sz w:val="24"/>
        </w:rPr>
        <w:t>委託</w:t>
      </w:r>
      <w:bookmarkStart w:id="54" w:name="_Hlk180066168"/>
      <w:r>
        <w:rPr>
          <w:rFonts w:hint="eastAsia"/>
          <w:sz w:val="24"/>
        </w:rPr>
        <w:t>國立海洋生物博物館</w:t>
      </w:r>
      <w:bookmarkEnd w:id="54"/>
      <w:r>
        <w:rPr>
          <w:rFonts w:hint="eastAsia"/>
          <w:sz w:val="24"/>
        </w:rPr>
        <w:t>調查，「-」表示當年該處未進行調查。</w:t>
      </w:r>
    </w:p>
    <w:p w:rsidR="0097297C" w:rsidRDefault="0097297C" w:rsidP="0097297C">
      <w:pPr>
        <w:pStyle w:val="3"/>
        <w:numPr>
          <w:ilvl w:val="0"/>
          <w:numId w:val="0"/>
        </w:numPr>
        <w:spacing w:line="320" w:lineRule="exact"/>
        <w:ind w:leftChars="86" w:left="712" w:rightChars="-194" w:right="-660" w:hangingChars="161" w:hanging="419"/>
        <w:rPr>
          <w:sz w:val="24"/>
        </w:rPr>
      </w:pPr>
      <w:r>
        <w:rPr>
          <w:rFonts w:hint="eastAsia"/>
          <w:sz w:val="24"/>
        </w:rPr>
        <w:t>資料來源：</w:t>
      </w:r>
      <w:proofErr w:type="gramStart"/>
      <w:r>
        <w:rPr>
          <w:rFonts w:hint="eastAsia"/>
          <w:sz w:val="24"/>
        </w:rPr>
        <w:t>海委會</w:t>
      </w:r>
      <w:proofErr w:type="gramEnd"/>
      <w:r>
        <w:rPr>
          <w:rFonts w:hint="eastAsia"/>
          <w:sz w:val="24"/>
        </w:rPr>
        <w:t>。</w:t>
      </w:r>
    </w:p>
    <w:p w:rsidR="0097297C" w:rsidRDefault="0097297C" w:rsidP="0097297C">
      <w:pPr>
        <w:pStyle w:val="3"/>
        <w:numPr>
          <w:ilvl w:val="0"/>
          <w:numId w:val="0"/>
        </w:numPr>
        <w:spacing w:line="320" w:lineRule="exact"/>
        <w:ind w:leftChars="86" w:left="841" w:rightChars="-194" w:right="-660" w:hangingChars="161" w:hanging="548"/>
      </w:pPr>
    </w:p>
    <w:p w:rsidR="0097297C" w:rsidRDefault="0097297C" w:rsidP="0097297C">
      <w:pPr>
        <w:pStyle w:val="3"/>
        <w:numPr>
          <w:ilvl w:val="2"/>
          <w:numId w:val="1"/>
        </w:numPr>
      </w:pPr>
      <w:r>
        <w:rPr>
          <w:rFonts w:hint="eastAsia"/>
        </w:rPr>
        <w:t>據本院諮詢長年著力珊瑚研究之</w:t>
      </w:r>
      <w:r w:rsidRPr="00C54364">
        <w:rPr>
          <w:rFonts w:hint="eastAsia"/>
        </w:rPr>
        <w:t>國立海洋生物博物館樊研究員</w:t>
      </w:r>
      <w:r>
        <w:rPr>
          <w:rFonts w:hint="eastAsia"/>
        </w:rPr>
        <w:t>，其提供研究資料顯示，</w:t>
      </w:r>
      <w:r w:rsidRPr="008D388D">
        <w:rPr>
          <w:rFonts w:hint="eastAsia"/>
          <w:u w:val="single"/>
        </w:rPr>
        <w:t>小琉球浮潛與</w:t>
      </w:r>
      <w:proofErr w:type="gramStart"/>
      <w:r w:rsidRPr="008D388D">
        <w:rPr>
          <w:rFonts w:hint="eastAsia"/>
          <w:u w:val="single"/>
        </w:rPr>
        <w:t>潮間帶踩踏</w:t>
      </w:r>
      <w:proofErr w:type="gramEnd"/>
      <w:r w:rsidRPr="008D388D">
        <w:rPr>
          <w:rFonts w:hint="eastAsia"/>
          <w:u w:val="single"/>
        </w:rPr>
        <w:t>等人為活動，亦對珊瑚礁產生劇烈衝擊</w:t>
      </w:r>
      <w:r>
        <w:rPr>
          <w:rFonts w:hint="eastAsia"/>
        </w:rPr>
        <w:t>。以109年調查結果顯示(詳下表)，浮潛活動密集區的硬珊瑚覆蓋率為0%至5.5%，</w:t>
      </w:r>
      <w:proofErr w:type="gramStart"/>
      <w:r>
        <w:rPr>
          <w:rFonts w:hint="eastAsia"/>
        </w:rPr>
        <w:t>非浮潛</w:t>
      </w:r>
      <w:proofErr w:type="gramEnd"/>
      <w:r>
        <w:rPr>
          <w:rFonts w:hint="eastAsia"/>
        </w:rPr>
        <w:t>活動密集區的硬珊瑚覆蓋率為6.5%至31.8%，顯示人為活動及踩踏對於珊瑚確有明顯不利的影響。</w:t>
      </w:r>
      <w:proofErr w:type="gramStart"/>
      <w:r>
        <w:rPr>
          <w:rFonts w:hint="eastAsia"/>
        </w:rPr>
        <w:t>此外，</w:t>
      </w:r>
      <w:proofErr w:type="gramEnd"/>
      <w:r>
        <w:rPr>
          <w:rFonts w:hint="eastAsia"/>
        </w:rPr>
        <w:t>小琉球海域</w:t>
      </w:r>
      <w:r w:rsidRPr="007E5037">
        <w:rPr>
          <w:rFonts w:hint="eastAsia"/>
        </w:rPr>
        <w:t>珊瑚多樣性越來越</w:t>
      </w:r>
      <w:r>
        <w:rPr>
          <w:rFonts w:hint="eastAsia"/>
        </w:rPr>
        <w:t>低，呈現</w:t>
      </w:r>
      <w:r w:rsidRPr="007E5037">
        <w:rPr>
          <w:rFonts w:hint="eastAsia"/>
        </w:rPr>
        <w:t>珊瑚扁平化</w:t>
      </w:r>
      <w:r>
        <w:rPr>
          <w:rFonts w:hint="eastAsia"/>
        </w:rPr>
        <w:t>趨勢；小</w:t>
      </w:r>
      <w:r w:rsidRPr="007E5037">
        <w:rPr>
          <w:rFonts w:hint="eastAsia"/>
        </w:rPr>
        <w:t>琉球魚類密度</w:t>
      </w:r>
      <w:r>
        <w:rPr>
          <w:rFonts w:hint="eastAsia"/>
        </w:rPr>
        <w:t>亦是臺</w:t>
      </w:r>
      <w:r w:rsidRPr="007E5037">
        <w:rPr>
          <w:rFonts w:hint="eastAsia"/>
        </w:rPr>
        <w:t>灣離島最低</w:t>
      </w:r>
      <w:r>
        <w:rPr>
          <w:rFonts w:hint="eastAsia"/>
        </w:rPr>
        <w:t>，每平方公尺僅</w:t>
      </w:r>
      <w:r w:rsidRPr="0066345D">
        <w:rPr>
          <w:rFonts w:hint="eastAsia"/>
        </w:rPr>
        <w:t>0.5至2隻</w:t>
      </w:r>
      <w:r>
        <w:rPr>
          <w:rFonts w:hint="eastAsia"/>
        </w:rPr>
        <w:t>，</w:t>
      </w:r>
      <w:r w:rsidRPr="0066345D">
        <w:rPr>
          <w:rFonts w:hint="eastAsia"/>
        </w:rPr>
        <w:t>生物量低下</w:t>
      </w:r>
      <w:r>
        <w:rPr>
          <w:rFonts w:hint="eastAsia"/>
        </w:rPr>
        <w:t>，魚類密度約為</w:t>
      </w:r>
      <w:r w:rsidRPr="007E5037">
        <w:rPr>
          <w:rFonts w:hint="eastAsia"/>
        </w:rPr>
        <w:t>綠島的三分之一</w:t>
      </w:r>
      <w:r>
        <w:rPr>
          <w:rFonts w:hint="eastAsia"/>
        </w:rPr>
        <w:t>及</w:t>
      </w:r>
      <w:r w:rsidRPr="007E5037">
        <w:rPr>
          <w:rFonts w:hint="eastAsia"/>
        </w:rPr>
        <w:t>墾丁的二分之一</w:t>
      </w:r>
      <w:r>
        <w:rPr>
          <w:rFonts w:hint="eastAsia"/>
        </w:rPr>
        <w:t>左右，</w:t>
      </w:r>
      <w:r w:rsidRPr="007E5037">
        <w:rPr>
          <w:rFonts w:hint="eastAsia"/>
        </w:rPr>
        <w:t>且</w:t>
      </w:r>
      <w:r>
        <w:rPr>
          <w:rFonts w:hint="eastAsia"/>
        </w:rPr>
        <w:t>魚類體型偏小，平</w:t>
      </w:r>
      <w:r>
        <w:rPr>
          <w:rFonts w:hint="eastAsia"/>
        </w:rPr>
        <w:lastRenderedPageBreak/>
        <w:t>均體長僅</w:t>
      </w:r>
      <w:r w:rsidRPr="0066345D">
        <w:rPr>
          <w:rFonts w:hint="eastAsia"/>
        </w:rPr>
        <w:t>6公分</w:t>
      </w:r>
      <w:r w:rsidRPr="003F3BD4">
        <w:rPr>
          <w:rFonts w:hint="eastAsia"/>
        </w:rPr>
        <w:t>。</w:t>
      </w:r>
      <w:r>
        <w:rPr>
          <w:rFonts w:hint="eastAsia"/>
        </w:rPr>
        <w:t>上述種種跡象，均</w:t>
      </w:r>
      <w:r w:rsidRPr="008D1D63">
        <w:rPr>
          <w:rFonts w:hint="eastAsia"/>
          <w:u w:val="single"/>
        </w:rPr>
        <w:t>顯示小琉球珊瑚礁生態系健康狀況告急，且小琉球沿海珊瑚礁生態系多半已屬於衰退或失能，其中又以人為活動頻繁之沿海遊憩活動密集區之珊瑚覆蓋率更為低落。</w:t>
      </w:r>
    </w:p>
    <w:p w:rsidR="0097297C" w:rsidRDefault="0097297C" w:rsidP="0097297C">
      <w:pPr>
        <w:pStyle w:val="a4"/>
        <w:ind w:left="480" w:hanging="480"/>
        <w:jc w:val="center"/>
      </w:pPr>
      <w:r>
        <w:rPr>
          <w:rFonts w:hint="eastAsia"/>
        </w:rPr>
        <w:t>109年小琉球各樣點珊瑚覆蓋率情形</w:t>
      </w:r>
    </w:p>
    <w:p w:rsidR="0097297C" w:rsidRDefault="0097297C" w:rsidP="0097297C">
      <w:pPr>
        <w:pStyle w:val="3"/>
        <w:keepNext/>
        <w:numPr>
          <w:ilvl w:val="0"/>
          <w:numId w:val="0"/>
        </w:numPr>
        <w:spacing w:line="320" w:lineRule="exact"/>
        <w:ind w:rightChars="-103" w:right="-350"/>
        <w:jc w:val="right"/>
      </w:pPr>
      <w:r w:rsidRPr="004F511C">
        <w:rPr>
          <w:rFonts w:hint="eastAsia"/>
          <w:sz w:val="24"/>
        </w:rPr>
        <w:t>單位</w:t>
      </w:r>
      <w:r>
        <w:rPr>
          <w:rFonts w:hint="eastAsia"/>
          <w:sz w:val="24"/>
        </w:rPr>
        <w:t>：%</w:t>
      </w:r>
    </w:p>
    <w:tbl>
      <w:tblPr>
        <w:tblStyle w:val="af8"/>
        <w:tblW w:w="9076" w:type="dxa"/>
        <w:tblInd w:w="275" w:type="dxa"/>
        <w:tblLook w:val="04A0" w:firstRow="1" w:lastRow="0" w:firstColumn="1" w:lastColumn="0" w:noHBand="0" w:noVBand="1"/>
      </w:tblPr>
      <w:tblGrid>
        <w:gridCol w:w="1134"/>
        <w:gridCol w:w="1134"/>
        <w:gridCol w:w="1135"/>
        <w:gridCol w:w="1134"/>
        <w:gridCol w:w="1135"/>
        <w:gridCol w:w="1134"/>
        <w:gridCol w:w="1135"/>
        <w:gridCol w:w="1135"/>
      </w:tblGrid>
      <w:tr w:rsidR="0097297C" w:rsidTr="00873E26">
        <w:trPr>
          <w:trHeight w:val="293"/>
          <w:tblHeader/>
        </w:trPr>
        <w:tc>
          <w:tcPr>
            <w:tcW w:w="1134"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Pr>
                <w:rFonts w:ascii="Times New Roman" w:hint="eastAsia"/>
                <w:color w:val="000000"/>
                <w:spacing w:val="-30"/>
                <w:kern w:val="0"/>
                <w:sz w:val="28"/>
                <w:szCs w:val="28"/>
              </w:rPr>
              <w:t>地點</w:t>
            </w:r>
          </w:p>
        </w:tc>
        <w:tc>
          <w:tcPr>
            <w:tcW w:w="1134"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sidRPr="00027FE8">
              <w:rPr>
                <w:rFonts w:ascii="Times New Roman" w:hint="eastAsia"/>
                <w:color w:val="000000"/>
                <w:spacing w:val="-30"/>
                <w:kern w:val="0"/>
                <w:sz w:val="28"/>
                <w:szCs w:val="28"/>
              </w:rPr>
              <w:t>花瓶岩</w:t>
            </w:r>
          </w:p>
        </w:tc>
        <w:tc>
          <w:tcPr>
            <w:tcW w:w="1135"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Pr>
                <w:rFonts w:ascii="Times New Roman" w:hint="eastAsia"/>
                <w:color w:val="000000"/>
                <w:spacing w:val="-30"/>
                <w:kern w:val="0"/>
                <w:sz w:val="28"/>
                <w:szCs w:val="28"/>
              </w:rPr>
              <w:t>美人洞</w:t>
            </w:r>
          </w:p>
        </w:tc>
        <w:tc>
          <w:tcPr>
            <w:tcW w:w="1134"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杉福</w:t>
            </w:r>
            <w:proofErr w:type="gramEnd"/>
          </w:p>
        </w:tc>
        <w:tc>
          <w:tcPr>
            <w:tcW w:w="1135"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蛤板灣</w:t>
            </w:r>
            <w:proofErr w:type="gramEnd"/>
          </w:p>
        </w:tc>
        <w:tc>
          <w:tcPr>
            <w:tcW w:w="1134" w:type="dxa"/>
            <w:shd w:val="clear" w:color="auto" w:fill="EAF1DD" w:themeFill="accent3" w:themeFillTint="33"/>
          </w:tcPr>
          <w:p w:rsidR="0097297C" w:rsidRPr="00027FE8" w:rsidRDefault="0097297C" w:rsidP="00873E26">
            <w:pPr>
              <w:widowControl/>
              <w:overflowPunct/>
              <w:autoSpaceDE/>
              <w:autoSpaceDN/>
              <w:spacing w:line="320" w:lineRule="exact"/>
              <w:ind w:leftChars="-42" w:left="-143"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厚石群礁</w:t>
            </w:r>
            <w:proofErr w:type="gramEnd"/>
          </w:p>
        </w:tc>
        <w:tc>
          <w:tcPr>
            <w:tcW w:w="1135" w:type="dxa"/>
            <w:shd w:val="clear" w:color="auto" w:fill="EAF1DD" w:themeFill="accent3" w:themeFillTint="33"/>
          </w:tcPr>
          <w:p w:rsidR="0097297C" w:rsidRPr="00027FE8" w:rsidRDefault="0097297C" w:rsidP="00873E26">
            <w:pPr>
              <w:widowControl/>
              <w:overflowPunct/>
              <w:autoSpaceDE/>
              <w:autoSpaceDN/>
              <w:spacing w:line="320" w:lineRule="exact"/>
              <w:ind w:leftChars="-93" w:left="-316" w:rightChars="-74" w:right="-252"/>
              <w:jc w:val="center"/>
              <w:rPr>
                <w:rFonts w:ascii="Times New Roman"/>
                <w:color w:val="000000"/>
                <w:spacing w:val="-40"/>
                <w:kern w:val="0"/>
                <w:sz w:val="28"/>
                <w:szCs w:val="28"/>
              </w:rPr>
            </w:pPr>
            <w:r w:rsidRPr="00027FE8">
              <w:rPr>
                <w:rFonts w:ascii="Times New Roman" w:hint="eastAsia"/>
                <w:color w:val="000000"/>
                <w:spacing w:val="-40"/>
                <w:kern w:val="0"/>
                <w:sz w:val="28"/>
                <w:szCs w:val="28"/>
              </w:rPr>
              <w:t>大福西漁港</w:t>
            </w:r>
          </w:p>
        </w:tc>
        <w:tc>
          <w:tcPr>
            <w:tcW w:w="1135"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Pr>
                <w:rFonts w:ascii="Times New Roman" w:hint="eastAsia"/>
                <w:color w:val="000000"/>
                <w:spacing w:val="-30"/>
                <w:kern w:val="0"/>
                <w:sz w:val="28"/>
                <w:szCs w:val="28"/>
              </w:rPr>
              <w:t>龍蝦洞</w:t>
            </w:r>
          </w:p>
        </w:tc>
      </w:tr>
      <w:tr w:rsidR="0097297C" w:rsidTr="00873E26">
        <w:trPr>
          <w:trHeight w:val="283"/>
        </w:trPr>
        <w:tc>
          <w:tcPr>
            <w:tcW w:w="1134" w:type="dxa"/>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非浮潛區</w:t>
            </w:r>
            <w:proofErr w:type="gramEnd"/>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7</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14</w:t>
            </w:r>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32</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w:t>
            </w:r>
            <w:r>
              <w:rPr>
                <w:rFonts w:ascii="Times New Roman"/>
                <w:color w:val="000000"/>
                <w:spacing w:val="-30"/>
                <w:kern w:val="0"/>
                <w:sz w:val="28"/>
                <w:szCs w:val="28"/>
              </w:rPr>
              <w:t>1</w:t>
            </w:r>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19</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15</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w:t>
            </w:r>
            <w:r>
              <w:rPr>
                <w:rFonts w:ascii="Times New Roman"/>
                <w:color w:val="000000"/>
                <w:spacing w:val="-30"/>
                <w:kern w:val="0"/>
                <w:sz w:val="28"/>
                <w:szCs w:val="28"/>
              </w:rPr>
              <w:t>7</w:t>
            </w:r>
          </w:p>
        </w:tc>
      </w:tr>
      <w:tr w:rsidR="0097297C" w:rsidTr="00873E26">
        <w:trPr>
          <w:trHeight w:val="283"/>
        </w:trPr>
        <w:tc>
          <w:tcPr>
            <w:tcW w:w="1134" w:type="dxa"/>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浮潛區</w:t>
            </w:r>
            <w:proofErr w:type="gramEnd"/>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0</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w:t>
            </w:r>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6</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w:t>
            </w:r>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w:t>
            </w:r>
          </w:p>
        </w:tc>
      </w:tr>
    </w:tbl>
    <w:p w:rsidR="0097297C" w:rsidRDefault="0097297C" w:rsidP="0097297C">
      <w:pPr>
        <w:pStyle w:val="3"/>
        <w:numPr>
          <w:ilvl w:val="0"/>
          <w:numId w:val="0"/>
        </w:numPr>
        <w:spacing w:line="320" w:lineRule="exact"/>
        <w:ind w:leftChars="86" w:left="712" w:rightChars="-194" w:right="-660" w:hangingChars="161" w:hanging="419"/>
        <w:rPr>
          <w:sz w:val="24"/>
        </w:rPr>
      </w:pPr>
      <w:r>
        <w:rPr>
          <w:rFonts w:hint="eastAsia"/>
          <w:sz w:val="24"/>
        </w:rPr>
        <w:t>資料來源：本院諮詢專家樊研究員提供。</w:t>
      </w:r>
    </w:p>
    <w:p w:rsidR="0097297C" w:rsidRDefault="0097297C" w:rsidP="0097297C">
      <w:pPr>
        <w:pStyle w:val="3"/>
        <w:numPr>
          <w:ilvl w:val="0"/>
          <w:numId w:val="0"/>
        </w:numPr>
        <w:ind w:left="680"/>
      </w:pPr>
    </w:p>
    <w:p w:rsidR="0097297C" w:rsidRDefault="0097297C" w:rsidP="0097297C">
      <w:pPr>
        <w:pStyle w:val="3"/>
        <w:numPr>
          <w:ilvl w:val="2"/>
          <w:numId w:val="1"/>
        </w:numPr>
      </w:pPr>
      <w:proofErr w:type="gramStart"/>
      <w:r>
        <w:rPr>
          <w:rFonts w:hint="eastAsia"/>
        </w:rPr>
        <w:t>查</w:t>
      </w:r>
      <w:bookmarkStart w:id="55" w:name="_Hlk180397795"/>
      <w:r w:rsidRPr="00944E99">
        <w:rPr>
          <w:rFonts w:hint="eastAsia"/>
        </w:rPr>
        <w:t>鵬管</w:t>
      </w:r>
      <w:proofErr w:type="gramEnd"/>
      <w:r w:rsidRPr="00944E99">
        <w:rPr>
          <w:rFonts w:hint="eastAsia"/>
        </w:rPr>
        <w:t>處前於107年委託中華民國戶外遊憩學會</w:t>
      </w:r>
      <w:r>
        <w:rPr>
          <w:rStyle w:val="afe"/>
        </w:rPr>
        <w:footnoteReference w:id="3"/>
      </w:r>
      <w:r w:rsidRPr="00944E99">
        <w:rPr>
          <w:rFonts w:hint="eastAsia"/>
        </w:rPr>
        <w:t>進行「琉球風景特定區遊憩承載量調查評估」，該調查報告結果略以：</w:t>
      </w:r>
      <w:proofErr w:type="gramStart"/>
      <w:r w:rsidRPr="00944E99">
        <w:rPr>
          <w:rFonts w:hint="eastAsia"/>
        </w:rPr>
        <w:t>推估小琉球</w:t>
      </w:r>
      <w:proofErr w:type="gramEnd"/>
      <w:r w:rsidRPr="00944E99">
        <w:rPr>
          <w:rFonts w:hint="eastAsia"/>
        </w:rPr>
        <w:t>全年承載量約200萬人，1天1萬人次以下為舒適，1萬到1萬5,000人次則須採適度的分流措施，1萬5,000人次到達管控階段，需進行較嚴格的限制例如人數管制、收費。</w:t>
      </w:r>
      <w:bookmarkStart w:id="56" w:name="_Hlk180166031"/>
      <w:r>
        <w:rPr>
          <w:rFonts w:hint="eastAsia"/>
        </w:rPr>
        <w:t>然</w:t>
      </w:r>
      <w:proofErr w:type="gramStart"/>
      <w:r w:rsidRPr="00944E99">
        <w:rPr>
          <w:rFonts w:hint="eastAsia"/>
        </w:rPr>
        <w:t>據海委會</w:t>
      </w:r>
      <w:proofErr w:type="gramEnd"/>
      <w:r w:rsidRPr="00944E99">
        <w:rPr>
          <w:rFonts w:hint="eastAsia"/>
        </w:rPr>
        <w:t>表示，鵬管處前揭107年委託辦理之「琉球風景特定區遊憩承載量調查評估」，並未考量遊客數量對當地生態的影響及遊客過度集中於濱海景點的現象，大量遊客進入小琉球，已引發各類水域遊憩活動之間及遊憩活動與漁船作業之空間衝突</w:t>
      </w:r>
      <w:r>
        <w:rPr>
          <w:rFonts w:hint="eastAsia"/>
        </w:rPr>
        <w:t>；</w:t>
      </w:r>
      <w:r w:rsidRPr="00944E99">
        <w:rPr>
          <w:rFonts w:hint="eastAsia"/>
        </w:rPr>
        <w:t>且</w:t>
      </w:r>
      <w:r>
        <w:rPr>
          <w:rFonts w:hint="eastAsia"/>
        </w:rPr>
        <w:t>遊客</w:t>
      </w:r>
      <w:r w:rsidRPr="00365629">
        <w:rPr>
          <w:rFonts w:hAnsi="標楷體" w:hint="eastAsia"/>
        </w:rPr>
        <w:t>高度集中熱門遊憩景點或海域，將對該處遊憩品質及生態將造成影響</w:t>
      </w:r>
      <w:r>
        <w:rPr>
          <w:rFonts w:hAnsi="標楷體" w:hint="eastAsia"/>
        </w:rPr>
        <w:t>，</w:t>
      </w:r>
      <w:r w:rsidRPr="00944E99">
        <w:rPr>
          <w:rFonts w:hint="eastAsia"/>
        </w:rPr>
        <w:t>近來當地生態調查資料</w:t>
      </w:r>
      <w:r>
        <w:rPr>
          <w:rFonts w:hint="eastAsia"/>
        </w:rPr>
        <w:t>亦</w:t>
      </w:r>
      <w:r w:rsidRPr="00944E99">
        <w:rPr>
          <w:rFonts w:hint="eastAsia"/>
        </w:rPr>
        <w:t>顯示，小琉球生物多樣性有劣化趨勢。</w:t>
      </w:r>
      <w:proofErr w:type="gramStart"/>
      <w:r>
        <w:rPr>
          <w:rFonts w:hint="eastAsia"/>
        </w:rPr>
        <w:t>然</w:t>
      </w:r>
      <w:r w:rsidRPr="000C46A4">
        <w:rPr>
          <w:rFonts w:hint="eastAsia"/>
        </w:rPr>
        <w:t>海委</w:t>
      </w:r>
      <w:proofErr w:type="gramEnd"/>
      <w:r w:rsidRPr="000C46A4">
        <w:rPr>
          <w:rFonts w:hint="eastAsia"/>
        </w:rPr>
        <w:t>會</w:t>
      </w:r>
      <w:r>
        <w:rPr>
          <w:rFonts w:hint="eastAsia"/>
        </w:rPr>
        <w:t>雖於111至112年間多次建議鵬管處</w:t>
      </w:r>
      <w:r w:rsidRPr="005554EB">
        <w:rPr>
          <w:rFonts w:hint="eastAsia"/>
        </w:rPr>
        <w:t>重新針對遊客數量與島上遊憩承載做適度評估及調整</w:t>
      </w:r>
      <w:r>
        <w:rPr>
          <w:rFonts w:hint="eastAsia"/>
        </w:rPr>
        <w:t>；惟該會對於小琉球環境承載量超過負荷一節，並未展開具體積極之應對策略。</w:t>
      </w:r>
    </w:p>
    <w:p w:rsidR="0097297C" w:rsidRPr="005554EB" w:rsidRDefault="0097297C" w:rsidP="0097297C">
      <w:pPr>
        <w:pStyle w:val="3"/>
        <w:numPr>
          <w:ilvl w:val="2"/>
          <w:numId w:val="1"/>
        </w:numPr>
      </w:pPr>
      <w:r w:rsidRPr="005554EB">
        <w:rPr>
          <w:rFonts w:hint="eastAsia"/>
        </w:rPr>
        <w:lastRenderedPageBreak/>
        <w:t>113年鵬管處</w:t>
      </w:r>
      <w:r>
        <w:rPr>
          <w:rFonts w:hint="eastAsia"/>
        </w:rPr>
        <w:t>再次</w:t>
      </w:r>
      <w:r w:rsidRPr="005554EB">
        <w:rPr>
          <w:rFonts w:hint="eastAsia"/>
        </w:rPr>
        <w:t>辦理琉球風景特定區遊憩承載量綜合評估委託服務案</w:t>
      </w:r>
      <w:r>
        <w:rPr>
          <w:rFonts w:hint="eastAsia"/>
        </w:rPr>
        <w:t>，並由</w:t>
      </w:r>
      <w:r w:rsidRPr="00AE0D2B">
        <w:rPr>
          <w:rFonts w:hint="eastAsia"/>
        </w:rPr>
        <w:t>世界休閒協會臺灣分會</w:t>
      </w:r>
      <w:r>
        <w:rPr>
          <w:rStyle w:val="afe"/>
        </w:rPr>
        <w:footnoteReference w:id="4"/>
      </w:r>
      <w:r>
        <w:rPr>
          <w:rFonts w:hint="eastAsia"/>
        </w:rPr>
        <w:t>承辦。經查</w:t>
      </w:r>
      <w:r w:rsidRPr="005554EB">
        <w:rPr>
          <w:rFonts w:hAnsi="標楷體" w:hint="eastAsia"/>
        </w:rPr>
        <w:t>113年9月12日</w:t>
      </w:r>
      <w:r>
        <w:rPr>
          <w:rFonts w:hAnsi="標楷體" w:hint="eastAsia"/>
        </w:rPr>
        <w:t>該</w:t>
      </w:r>
      <w:r w:rsidRPr="005554EB">
        <w:rPr>
          <w:rFonts w:hAnsi="標楷體" w:hint="eastAsia"/>
        </w:rPr>
        <w:t>委託服務案期中報告書審查</w:t>
      </w:r>
      <w:r>
        <w:rPr>
          <w:rFonts w:hAnsi="標楷體" w:hint="eastAsia"/>
        </w:rPr>
        <w:t>會議紀錄，</w:t>
      </w:r>
      <w:proofErr w:type="gramStart"/>
      <w:r w:rsidRPr="005554EB">
        <w:rPr>
          <w:rFonts w:hAnsi="標楷體" w:hint="eastAsia"/>
        </w:rPr>
        <w:t>海委會</w:t>
      </w:r>
      <w:proofErr w:type="gramEnd"/>
      <w:r>
        <w:rPr>
          <w:rFonts w:hAnsi="標楷體" w:hint="eastAsia"/>
        </w:rPr>
        <w:t>於會上提出</w:t>
      </w:r>
      <w:r w:rsidRPr="005554EB">
        <w:rPr>
          <w:rFonts w:hAnsi="標楷體" w:hint="eastAsia"/>
        </w:rPr>
        <w:t>意見表示：「計畫目前在評估上，並未納入生態考量，而是以設施承載作為遊憩承載量之評估，恐不利生態保育…</w:t>
      </w:r>
      <w:proofErr w:type="gramStart"/>
      <w:r w:rsidRPr="005554EB">
        <w:rPr>
          <w:rFonts w:hAnsi="標楷體" w:hint="eastAsia"/>
        </w:rPr>
        <w:t>…</w:t>
      </w:r>
      <w:proofErr w:type="gramEnd"/>
      <w:r w:rsidRPr="005554EB">
        <w:rPr>
          <w:rFonts w:hAnsi="標楷體" w:hint="eastAsia"/>
        </w:rPr>
        <w:t>」</w:t>
      </w:r>
      <w:r>
        <w:rPr>
          <w:rFonts w:hAnsi="標楷體" w:hint="eastAsia"/>
        </w:rPr>
        <w:t>又，為瞭解該委託服務案實際辦理情形，本院遂邀請該委託服務案承辦單位到院說明，該承辦單位代表針對調查委員提</w:t>
      </w:r>
      <w:r w:rsidRPr="005554EB">
        <w:rPr>
          <w:rFonts w:hAnsi="標楷體" w:hint="eastAsia"/>
        </w:rPr>
        <w:t>問：「生態承載量需要的調查部分，難以在本案執行，所以是只能交給</w:t>
      </w:r>
      <w:proofErr w:type="gramStart"/>
      <w:r w:rsidRPr="005554EB">
        <w:rPr>
          <w:rFonts w:hAnsi="標楷體" w:hint="eastAsia"/>
        </w:rPr>
        <w:t>海保署</w:t>
      </w:r>
      <w:proofErr w:type="gramEnd"/>
      <w:r w:rsidRPr="005554EB">
        <w:rPr>
          <w:rFonts w:hAnsi="標楷體" w:hint="eastAsia"/>
        </w:rPr>
        <w:t>？」答復：「是。」是</w:t>
      </w:r>
      <w:proofErr w:type="gramStart"/>
      <w:r w:rsidRPr="005554EB">
        <w:rPr>
          <w:rFonts w:hAnsi="標楷體" w:hint="eastAsia"/>
        </w:rPr>
        <w:t>以</w:t>
      </w:r>
      <w:proofErr w:type="gramEnd"/>
      <w:r w:rsidRPr="005554EB">
        <w:rPr>
          <w:rFonts w:hAnsi="標楷體" w:hint="eastAsia"/>
        </w:rPr>
        <w:t>，鵬管處113年委託進行之</w:t>
      </w:r>
      <w:r w:rsidRPr="005554EB">
        <w:rPr>
          <w:rFonts w:hint="eastAsia"/>
        </w:rPr>
        <w:t>琉球風景特定區遊憩承載量調查評估，</w:t>
      </w:r>
      <w:r>
        <w:rPr>
          <w:rFonts w:hint="eastAsia"/>
        </w:rPr>
        <w:t>恐仍</w:t>
      </w:r>
      <w:r w:rsidRPr="005554EB">
        <w:rPr>
          <w:rFonts w:hint="eastAsia"/>
        </w:rPr>
        <w:t>著眼於觀光遊客承載量之評估結果，未能考量海洋生態維護因素，</w:t>
      </w:r>
      <w:r>
        <w:rPr>
          <w:rFonts w:hint="eastAsia"/>
        </w:rPr>
        <w:t>而</w:t>
      </w:r>
      <w:r w:rsidRPr="005554EB">
        <w:rPr>
          <w:rFonts w:hint="eastAsia"/>
        </w:rPr>
        <w:t>無助於該處海洋生態保育。</w:t>
      </w:r>
      <w:proofErr w:type="gramStart"/>
      <w:r w:rsidRPr="005554EB">
        <w:rPr>
          <w:rFonts w:hint="eastAsia"/>
        </w:rPr>
        <w:t>海委會</w:t>
      </w:r>
      <w:proofErr w:type="gramEnd"/>
      <w:r>
        <w:rPr>
          <w:rFonts w:hint="eastAsia"/>
        </w:rPr>
        <w:t>既</w:t>
      </w:r>
      <w:r w:rsidRPr="005554EB">
        <w:rPr>
          <w:rFonts w:hint="eastAsia"/>
        </w:rPr>
        <w:t>為海洋生態保育中央主管機關，對於海洋生態保育相關措施，均可主動為之，且自該會成立以來，已有許多民間團體（如</w:t>
      </w:r>
      <w:r>
        <w:rPr>
          <w:rFonts w:hint="eastAsia"/>
        </w:rPr>
        <w:t>：</w:t>
      </w:r>
      <w:r w:rsidRPr="005554EB">
        <w:rPr>
          <w:rFonts w:hint="eastAsia"/>
        </w:rPr>
        <w:t>財團法人綠色和平基金會、財團法人自然保育與環境資訊基金會</w:t>
      </w:r>
      <w:r>
        <w:rPr>
          <w:rFonts w:hint="eastAsia"/>
        </w:rPr>
        <w:t>…</w:t>
      </w:r>
      <w:proofErr w:type="gramStart"/>
      <w:r>
        <w:rPr>
          <w:rFonts w:hint="eastAsia"/>
        </w:rPr>
        <w:t>…</w:t>
      </w:r>
      <w:proofErr w:type="gramEnd"/>
      <w:r w:rsidRPr="005554EB">
        <w:rPr>
          <w:rFonts w:hint="eastAsia"/>
        </w:rPr>
        <w:t>等）陸續提出小琉球珊瑚生態系統衰退等調查結果</w:t>
      </w:r>
      <w:r>
        <w:rPr>
          <w:rFonts w:hint="eastAsia"/>
        </w:rPr>
        <w:t>。</w:t>
      </w:r>
      <w:proofErr w:type="gramStart"/>
      <w:r w:rsidRPr="005554EB">
        <w:rPr>
          <w:rFonts w:hint="eastAsia"/>
        </w:rPr>
        <w:t>海委會</w:t>
      </w:r>
      <w:proofErr w:type="gramEnd"/>
      <w:r w:rsidRPr="005554EB">
        <w:rPr>
          <w:rFonts w:hint="eastAsia"/>
        </w:rPr>
        <w:t>長期以來</w:t>
      </w:r>
      <w:proofErr w:type="gramStart"/>
      <w:r w:rsidRPr="005554EB">
        <w:rPr>
          <w:rFonts w:hint="eastAsia"/>
        </w:rPr>
        <w:t>既知小琉</w:t>
      </w:r>
      <w:proofErr w:type="gramEnd"/>
      <w:r w:rsidRPr="005554EB">
        <w:rPr>
          <w:rFonts w:hint="eastAsia"/>
        </w:rPr>
        <w:t>球環境承載量評估與海域生態息息相關，自</w:t>
      </w:r>
      <w:r>
        <w:rPr>
          <w:rFonts w:hint="eastAsia"/>
        </w:rPr>
        <w:t>可</w:t>
      </w:r>
      <w:r w:rsidRPr="005554EB">
        <w:rPr>
          <w:rFonts w:hint="eastAsia"/>
        </w:rPr>
        <w:t>主動進行</w:t>
      </w:r>
      <w:r>
        <w:rPr>
          <w:rFonts w:hint="eastAsia"/>
        </w:rPr>
        <w:t>評估</w:t>
      </w:r>
      <w:r w:rsidRPr="005554EB">
        <w:rPr>
          <w:rFonts w:hint="eastAsia"/>
        </w:rPr>
        <w:t>調查，以保護</w:t>
      </w:r>
      <w:r>
        <w:rPr>
          <w:rFonts w:hint="eastAsia"/>
        </w:rPr>
        <w:t>小琉球</w:t>
      </w:r>
      <w:r w:rsidRPr="005554EB">
        <w:rPr>
          <w:rFonts w:hint="eastAsia"/>
        </w:rPr>
        <w:t>自然生態資源，避免海洋生態受到衝擊。該會未積極為之，反寄託於觀光主管機關所為之調查作為，任令小琉球周遭海域海洋生態及生物多樣性趨於惡化、劣化，</w:t>
      </w:r>
      <w:proofErr w:type="gramStart"/>
      <w:r w:rsidRPr="005554EB">
        <w:rPr>
          <w:rFonts w:hint="eastAsia"/>
        </w:rPr>
        <w:t>洵</w:t>
      </w:r>
      <w:proofErr w:type="gramEnd"/>
      <w:r w:rsidRPr="005554EB">
        <w:rPr>
          <w:rFonts w:hint="eastAsia"/>
        </w:rPr>
        <w:t>有缺失。</w:t>
      </w:r>
    </w:p>
    <w:bookmarkEnd w:id="55"/>
    <w:bookmarkEnd w:id="56"/>
    <w:p w:rsidR="0097297C" w:rsidRPr="003C1FA0" w:rsidRDefault="0097297C" w:rsidP="0097297C">
      <w:pPr>
        <w:pStyle w:val="3"/>
        <w:numPr>
          <w:ilvl w:val="2"/>
          <w:numId w:val="1"/>
        </w:numPr>
      </w:pPr>
      <w:proofErr w:type="gramStart"/>
      <w:r w:rsidRPr="003C1FA0">
        <w:rPr>
          <w:rFonts w:hint="eastAsia"/>
        </w:rPr>
        <w:t>再者，海委</w:t>
      </w:r>
      <w:proofErr w:type="gramEnd"/>
      <w:r w:rsidRPr="003C1FA0">
        <w:rPr>
          <w:rFonts w:hint="eastAsia"/>
        </w:rPr>
        <w:t>會自107年4月28日成立，然該會於成立近3年後(即110年)，方委託國立海洋生物博物館辦理珊瑚監測計畫，瞭解沿海各地區珊瑚覆蓋率變化</w:t>
      </w:r>
      <w:r w:rsidRPr="003C1FA0">
        <w:rPr>
          <w:rFonts w:hint="eastAsia"/>
        </w:rPr>
        <w:lastRenderedPageBreak/>
        <w:t>情形；且至111年始補助屏東縣政府辦理小琉球珊瑚復育計畫，於山</w:t>
      </w:r>
      <w:proofErr w:type="gramStart"/>
      <w:r w:rsidRPr="003C1FA0">
        <w:rPr>
          <w:rFonts w:hint="eastAsia"/>
        </w:rPr>
        <w:t>豬溝北</w:t>
      </w:r>
      <w:proofErr w:type="gramEnd"/>
      <w:r w:rsidRPr="003C1FA0">
        <w:rPr>
          <w:rFonts w:hint="eastAsia"/>
        </w:rPr>
        <w:t>堤、花瓶岩、</w:t>
      </w:r>
      <w:proofErr w:type="gramStart"/>
      <w:r w:rsidRPr="003C1FA0">
        <w:rPr>
          <w:rFonts w:hint="eastAsia"/>
        </w:rPr>
        <w:t>杉福外</w:t>
      </w:r>
      <w:proofErr w:type="gramEnd"/>
      <w:r w:rsidRPr="003C1FA0">
        <w:rPr>
          <w:rFonts w:hint="eastAsia"/>
        </w:rPr>
        <w:t>海及白沙港東堤</w:t>
      </w:r>
      <w:proofErr w:type="gramStart"/>
      <w:r w:rsidRPr="003C1FA0">
        <w:rPr>
          <w:rFonts w:hint="eastAsia"/>
        </w:rPr>
        <w:t>等樣</w:t>
      </w:r>
      <w:proofErr w:type="gramEnd"/>
      <w:r w:rsidRPr="003C1FA0">
        <w:rPr>
          <w:rFonts w:hint="eastAsia"/>
        </w:rPr>
        <w:t>點進行珊瑚移植復育苗圃測試。</w:t>
      </w:r>
      <w:proofErr w:type="gramStart"/>
      <w:r w:rsidRPr="003C1FA0">
        <w:rPr>
          <w:rFonts w:hint="eastAsia"/>
        </w:rPr>
        <w:t>海委會</w:t>
      </w:r>
      <w:proofErr w:type="gramEnd"/>
      <w:r w:rsidRPr="003C1FA0">
        <w:rPr>
          <w:rFonts w:hint="eastAsia"/>
        </w:rPr>
        <w:t>對於小琉球珊瑚礁生態系統衰退及失能情形未能正視且確實掌握，並依其職掌積極加以提供適切保護，亦有怠失。</w:t>
      </w:r>
    </w:p>
    <w:p w:rsidR="0097297C" w:rsidRDefault="0097297C" w:rsidP="0097297C">
      <w:pPr>
        <w:pStyle w:val="3"/>
        <w:numPr>
          <w:ilvl w:val="2"/>
          <w:numId w:val="1"/>
        </w:numPr>
      </w:pPr>
      <w:proofErr w:type="gramStart"/>
      <w:r>
        <w:rPr>
          <w:rFonts w:hint="eastAsia"/>
        </w:rPr>
        <w:t>此外，</w:t>
      </w:r>
      <w:proofErr w:type="gramEnd"/>
      <w:r w:rsidRPr="000F7DFA">
        <w:rPr>
          <w:rFonts w:hint="eastAsia"/>
        </w:rPr>
        <w:t>海洋</w:t>
      </w:r>
      <w:proofErr w:type="gramStart"/>
      <w:r w:rsidRPr="000F7DFA">
        <w:rPr>
          <w:rFonts w:hint="eastAsia"/>
        </w:rPr>
        <w:t>保育法業</w:t>
      </w:r>
      <w:proofErr w:type="gramEnd"/>
      <w:r w:rsidRPr="000F7DFA">
        <w:rPr>
          <w:rFonts w:hint="eastAsia"/>
        </w:rPr>
        <w:t>於113年7月12日經立法院三讀通過，並於同年7月31日經總統公布，雖目前尚未施行，惟該法已明定中央</w:t>
      </w:r>
      <w:proofErr w:type="gramStart"/>
      <w:r w:rsidRPr="000F7DFA">
        <w:rPr>
          <w:rFonts w:hint="eastAsia"/>
        </w:rPr>
        <w:t>主管機關海委</w:t>
      </w:r>
      <w:proofErr w:type="gramEnd"/>
      <w:r w:rsidRPr="000F7DFA">
        <w:rPr>
          <w:rFonts w:hint="eastAsia"/>
        </w:rPr>
        <w:t>會得就海洋生態系統有特別保護必要者，劃定海洋庇護區，並將其再細分為核心區、緩衝區及永續利用區進行分區管理。本院於113年8月16日</w:t>
      </w:r>
      <w:proofErr w:type="gramStart"/>
      <w:r w:rsidRPr="000F7DFA">
        <w:rPr>
          <w:rFonts w:hint="eastAsia"/>
        </w:rPr>
        <w:t>詢問海委會</w:t>
      </w:r>
      <w:proofErr w:type="gramEnd"/>
      <w:r w:rsidRPr="000F7DFA">
        <w:rPr>
          <w:rFonts w:hint="eastAsia"/>
        </w:rPr>
        <w:t>，該會答復：「海洋保育法今年7月31日公告，未來也會</w:t>
      </w:r>
      <w:proofErr w:type="gramStart"/>
      <w:r w:rsidRPr="000F7DFA">
        <w:rPr>
          <w:rFonts w:hint="eastAsia"/>
        </w:rPr>
        <w:t>去修子法</w:t>
      </w:r>
      <w:proofErr w:type="gramEnd"/>
      <w:r w:rsidRPr="000F7DFA">
        <w:rPr>
          <w:rFonts w:hint="eastAsia"/>
        </w:rPr>
        <w:t>。」、「未來子法上路，關於今天提到(小琉球)的相關問題，也可以透過子法相應</w:t>
      </w:r>
      <w:proofErr w:type="gramStart"/>
      <w:r w:rsidRPr="000F7DFA">
        <w:rPr>
          <w:rFonts w:hint="eastAsia"/>
        </w:rPr>
        <w:t>來作</w:t>
      </w:r>
      <w:proofErr w:type="gramEnd"/>
      <w:r w:rsidRPr="000F7DFA">
        <w:rPr>
          <w:rFonts w:hint="eastAsia"/>
        </w:rPr>
        <w:t>生態保育相關的處理。」海洋保育法施行在即，針對小琉球沿海環境生態保護，</w:t>
      </w:r>
      <w:proofErr w:type="gramStart"/>
      <w:r>
        <w:rPr>
          <w:rFonts w:hint="eastAsia"/>
        </w:rPr>
        <w:t>海委會</w:t>
      </w:r>
      <w:proofErr w:type="gramEnd"/>
      <w:r>
        <w:rPr>
          <w:rFonts w:hint="eastAsia"/>
        </w:rPr>
        <w:t>作為</w:t>
      </w:r>
      <w:r w:rsidRPr="000F7DFA">
        <w:rPr>
          <w:rFonts w:hint="eastAsia"/>
        </w:rPr>
        <w:t>中央主管機關</w:t>
      </w:r>
      <w:r>
        <w:rPr>
          <w:rFonts w:hint="eastAsia"/>
        </w:rPr>
        <w:t>，更應積極肩負其海洋保育職責，據以</w:t>
      </w:r>
      <w:r w:rsidRPr="000F7DFA">
        <w:rPr>
          <w:rFonts w:hint="eastAsia"/>
        </w:rPr>
        <w:t>擬定具體管理方針。</w:t>
      </w:r>
    </w:p>
    <w:p w:rsidR="00DD0DDA" w:rsidRPr="00423342" w:rsidRDefault="0097297C" w:rsidP="0097297C">
      <w:pPr>
        <w:pStyle w:val="3"/>
        <w:rPr>
          <w:rFonts w:ascii="Times New Roman"/>
        </w:rPr>
      </w:pPr>
      <w:r w:rsidRPr="007526F8">
        <w:rPr>
          <w:rFonts w:hint="eastAsia"/>
        </w:rPr>
        <w:t>綜上，</w:t>
      </w:r>
      <w:r w:rsidRPr="009C69E1">
        <w:rPr>
          <w:rFonts w:hint="eastAsia"/>
        </w:rPr>
        <w:t>小琉球為一珊瑚礁島嶼，該島珊瑚礁生態系統為我國珍貴之生態資源。然自105年以來，該島珊瑚礁生態系統多年處於衰退或失能狀態，遲未有顯著改善，珊瑚覆蓋率甚已降為全</w:t>
      </w:r>
      <w:proofErr w:type="gramStart"/>
      <w:r w:rsidRPr="009C69E1">
        <w:rPr>
          <w:rFonts w:hint="eastAsia"/>
        </w:rPr>
        <w:t>臺</w:t>
      </w:r>
      <w:proofErr w:type="gramEnd"/>
      <w:r w:rsidRPr="009C69E1">
        <w:rPr>
          <w:rFonts w:hint="eastAsia"/>
        </w:rPr>
        <w:t>最低。</w:t>
      </w:r>
      <w:proofErr w:type="gramStart"/>
      <w:r w:rsidRPr="009C69E1">
        <w:rPr>
          <w:rFonts w:hint="eastAsia"/>
        </w:rPr>
        <w:t>海委會</w:t>
      </w:r>
      <w:proofErr w:type="gramEnd"/>
      <w:r w:rsidRPr="009C69E1">
        <w:rPr>
          <w:rFonts w:hint="eastAsia"/>
        </w:rPr>
        <w:t>長期以來</w:t>
      </w:r>
      <w:proofErr w:type="gramStart"/>
      <w:r w:rsidRPr="009C69E1">
        <w:rPr>
          <w:rFonts w:hint="eastAsia"/>
        </w:rPr>
        <w:t>既知小琉</w:t>
      </w:r>
      <w:proofErr w:type="gramEnd"/>
      <w:r w:rsidRPr="009C69E1">
        <w:rPr>
          <w:rFonts w:hint="eastAsia"/>
        </w:rPr>
        <w:t>球環境承載量評估與海域生態息息相關，自可主動進行評估調查，以保護小琉球自然生態資源，避免海洋生態受到衝擊</w:t>
      </w:r>
      <w:r>
        <w:rPr>
          <w:rFonts w:hint="eastAsia"/>
        </w:rPr>
        <w:t>；惟</w:t>
      </w:r>
      <w:r w:rsidRPr="009C69E1">
        <w:rPr>
          <w:rFonts w:hint="eastAsia"/>
        </w:rPr>
        <w:t>該會未積極為之，反寄託於觀光主管機關所為之調查作為，任令小琉球周遭海域海洋生態及生物多樣性趨於惡化、劣化，</w:t>
      </w:r>
      <w:proofErr w:type="gramStart"/>
      <w:r w:rsidRPr="009C69E1">
        <w:rPr>
          <w:rFonts w:hint="eastAsia"/>
        </w:rPr>
        <w:t>洵</w:t>
      </w:r>
      <w:proofErr w:type="gramEnd"/>
      <w:r w:rsidRPr="009C69E1">
        <w:rPr>
          <w:rFonts w:hint="eastAsia"/>
        </w:rPr>
        <w:t>有缺失。又，</w:t>
      </w:r>
      <w:proofErr w:type="gramStart"/>
      <w:r w:rsidRPr="009C69E1">
        <w:rPr>
          <w:rFonts w:hint="eastAsia"/>
        </w:rPr>
        <w:t>海委會</w:t>
      </w:r>
      <w:proofErr w:type="gramEnd"/>
      <w:r w:rsidRPr="009C69E1">
        <w:rPr>
          <w:rFonts w:hint="eastAsia"/>
        </w:rPr>
        <w:t>自成立以來，</w:t>
      </w:r>
      <w:proofErr w:type="gramStart"/>
      <w:r w:rsidRPr="009C69E1">
        <w:rPr>
          <w:rFonts w:hint="eastAsia"/>
        </w:rPr>
        <w:t>均未積</w:t>
      </w:r>
      <w:proofErr w:type="gramEnd"/>
      <w:r w:rsidRPr="009C69E1">
        <w:rPr>
          <w:rFonts w:hint="eastAsia"/>
        </w:rPr>
        <w:t>極掌握小琉球珊瑚礁生態系統變化情形，加以</w:t>
      </w:r>
      <w:proofErr w:type="gramStart"/>
      <w:r w:rsidRPr="009C69E1">
        <w:rPr>
          <w:rFonts w:hint="eastAsia"/>
        </w:rPr>
        <w:t>研訂</w:t>
      </w:r>
      <w:proofErr w:type="gramEnd"/>
      <w:r w:rsidRPr="009C69E1">
        <w:rPr>
          <w:rFonts w:hint="eastAsia"/>
        </w:rPr>
        <w:t>適切保育措施，遲至110及111年方辦理珊瑚</w:t>
      </w:r>
      <w:r w:rsidRPr="009C69E1">
        <w:rPr>
          <w:rFonts w:hint="eastAsia"/>
        </w:rPr>
        <w:lastRenderedPageBreak/>
        <w:t>監測計畫及珊瑚移植復育措施，亦有怠失。海洋</w:t>
      </w:r>
      <w:proofErr w:type="gramStart"/>
      <w:r w:rsidRPr="009C69E1">
        <w:rPr>
          <w:rFonts w:hint="eastAsia"/>
        </w:rPr>
        <w:t>保育法業於</w:t>
      </w:r>
      <w:proofErr w:type="gramEnd"/>
      <w:r w:rsidRPr="009C69E1">
        <w:rPr>
          <w:rFonts w:hint="eastAsia"/>
        </w:rPr>
        <w:t>113年7月31日經總統公告，</w:t>
      </w:r>
      <w:proofErr w:type="gramStart"/>
      <w:r w:rsidRPr="009C69E1">
        <w:rPr>
          <w:rFonts w:hint="eastAsia"/>
        </w:rPr>
        <w:t>海委</w:t>
      </w:r>
      <w:proofErr w:type="gramEnd"/>
      <w:r w:rsidRPr="009C69E1">
        <w:rPr>
          <w:rFonts w:hint="eastAsia"/>
        </w:rPr>
        <w:t>會作為海洋生態環境保護及海洋生物保育中央主管機關，後續更應積極</w:t>
      </w:r>
      <w:proofErr w:type="gramStart"/>
      <w:r w:rsidRPr="009C69E1">
        <w:rPr>
          <w:rFonts w:hint="eastAsia"/>
        </w:rPr>
        <w:t>研議</w:t>
      </w:r>
      <w:proofErr w:type="gramEnd"/>
      <w:r w:rsidRPr="009C69E1">
        <w:rPr>
          <w:rFonts w:hint="eastAsia"/>
        </w:rPr>
        <w:t>整體性規劃，以強化小琉球珊瑚復育及相關海洋環境保育行動。</w:t>
      </w:r>
      <w:bookmarkEnd w:id="53"/>
    </w:p>
    <w:p w:rsidR="00423342" w:rsidRPr="00423342" w:rsidRDefault="00B26583" w:rsidP="00423342">
      <w:pPr>
        <w:pStyle w:val="2"/>
      </w:pPr>
      <w:bookmarkStart w:id="57" w:name="_Hlk180163816"/>
      <w:r w:rsidRPr="00DC520A">
        <w:rPr>
          <w:rFonts w:hint="eastAsia"/>
        </w:rPr>
        <w:t>近年小琉球遊客不斷湧入，已引發沿海珊瑚礁海域生態失衡現象。小琉球遊客以從事水上活動為主，水上遊憩活動對於珊瑚礁生態系負面影響甚</w:t>
      </w:r>
      <w:proofErr w:type="gramStart"/>
      <w:r w:rsidRPr="00DC520A">
        <w:rPr>
          <w:rFonts w:hint="eastAsia"/>
        </w:rPr>
        <w:t>鉅</w:t>
      </w:r>
      <w:proofErr w:type="gramEnd"/>
      <w:r w:rsidRPr="00DC520A">
        <w:rPr>
          <w:rFonts w:hint="eastAsia"/>
        </w:rPr>
        <w:t>，</w:t>
      </w:r>
      <w:proofErr w:type="gramStart"/>
      <w:r w:rsidRPr="00DC520A">
        <w:rPr>
          <w:rFonts w:hint="eastAsia"/>
        </w:rPr>
        <w:t>訂定適</w:t>
      </w:r>
      <w:proofErr w:type="gramEnd"/>
      <w:r w:rsidRPr="00DC520A">
        <w:rPr>
          <w:rFonts w:hint="eastAsia"/>
        </w:rPr>
        <w:t>切之遊客閾值上限，對小琉球永續發展與經營至關重要。鵬管處雖曾於107年進行小琉球環境</w:t>
      </w:r>
      <w:r>
        <w:rPr>
          <w:rFonts w:hint="eastAsia"/>
        </w:rPr>
        <w:t>承</w:t>
      </w:r>
      <w:r w:rsidRPr="00DC520A">
        <w:rPr>
          <w:rFonts w:hint="eastAsia"/>
        </w:rPr>
        <w:t>載量評估調查，惟該調查僅著重觀光旅遊發展，並未考量小琉球海洋生態等環境因素；</w:t>
      </w:r>
      <w:proofErr w:type="gramStart"/>
      <w:r w:rsidRPr="00DC520A">
        <w:rPr>
          <w:rFonts w:hint="eastAsia"/>
        </w:rPr>
        <w:t>而海委會</w:t>
      </w:r>
      <w:proofErr w:type="gramEnd"/>
      <w:r w:rsidRPr="00DC520A">
        <w:rPr>
          <w:rFonts w:hint="eastAsia"/>
        </w:rPr>
        <w:t>自111年起多次建議鵬管處依發展觀光條例規定重新針對該島遊客人數上限做適度評估及調整，</w:t>
      </w:r>
      <w:proofErr w:type="gramStart"/>
      <w:r w:rsidRPr="00DC520A">
        <w:rPr>
          <w:rFonts w:hint="eastAsia"/>
        </w:rPr>
        <w:t>然鵬管處遲未</w:t>
      </w:r>
      <w:proofErr w:type="gramEnd"/>
      <w:r w:rsidRPr="00DC520A">
        <w:rPr>
          <w:rFonts w:hint="eastAsia"/>
        </w:rPr>
        <w:t>研議處理，迨至113年3月方重新辦理小琉球遊憩承載量評估委託服務之招標作業，且迄今仍未完成兼顧觀光發展及生態保育之遊憩承載量評估調查，致無法擬定經營管理計畫。鵬管處長期消極不作為，對於大量觀光客源源不斷赴小琉球旅遊完全束手無策，既無法限制</w:t>
      </w:r>
      <w:proofErr w:type="gramStart"/>
      <w:r w:rsidRPr="00DC520A">
        <w:rPr>
          <w:rFonts w:hint="eastAsia"/>
        </w:rPr>
        <w:t>交通船航班</w:t>
      </w:r>
      <w:proofErr w:type="gramEnd"/>
      <w:r w:rsidRPr="00DC520A">
        <w:rPr>
          <w:rFonts w:hint="eastAsia"/>
        </w:rPr>
        <w:t>班次及限制遊客登島人數，復無法提出人流管制替代方案，自有怠失，觀光</w:t>
      </w:r>
      <w:proofErr w:type="gramStart"/>
      <w:r w:rsidRPr="00DC520A">
        <w:rPr>
          <w:rFonts w:hint="eastAsia"/>
        </w:rPr>
        <w:t>署作為鵬</w:t>
      </w:r>
      <w:proofErr w:type="gramEnd"/>
      <w:r w:rsidRPr="00DC520A">
        <w:rPr>
          <w:rFonts w:hint="eastAsia"/>
        </w:rPr>
        <w:t>管處上級機關，亦難辭監督不力之咎。</w:t>
      </w:r>
      <w:bookmarkEnd w:id="57"/>
    </w:p>
    <w:p w:rsidR="00B26583" w:rsidRDefault="00B26583" w:rsidP="00B26583">
      <w:pPr>
        <w:pStyle w:val="3"/>
        <w:numPr>
          <w:ilvl w:val="2"/>
          <w:numId w:val="26"/>
        </w:numPr>
        <w:ind w:left="1386"/>
      </w:pPr>
      <w:r w:rsidRPr="00DA1C56">
        <w:rPr>
          <w:rFonts w:hint="eastAsia"/>
        </w:rPr>
        <w:t>依發展觀光條例第6條第2項規定</w:t>
      </w:r>
      <w:r>
        <w:rPr>
          <w:rFonts w:hint="eastAsia"/>
        </w:rPr>
        <w:t>：「</w:t>
      </w:r>
      <w:r w:rsidRPr="00CD40EA">
        <w:rPr>
          <w:rFonts w:hint="eastAsia"/>
        </w:rPr>
        <w:t>為維持觀光地區、風景特定區與自然人文生態景觀區之環境品質，得視需要導入成長管理機制，規範適當之遊客量、遊憩行為與許可開發強度，納入經營管理計畫。</w:t>
      </w:r>
      <w:r>
        <w:rPr>
          <w:rFonts w:hint="eastAsia"/>
        </w:rPr>
        <w:t>」是觀光主管機關針對</w:t>
      </w:r>
      <w:r w:rsidRPr="00DA1C56">
        <w:rPr>
          <w:rFonts w:hint="eastAsia"/>
        </w:rPr>
        <w:t>風景特定區得視需要規範適當之遊客量及遊憩行為等事項。</w:t>
      </w:r>
      <w:r>
        <w:rPr>
          <w:rFonts w:hint="eastAsia"/>
        </w:rPr>
        <w:t>以</w:t>
      </w:r>
      <w:r w:rsidRPr="00DA1C56">
        <w:rPr>
          <w:rFonts w:hint="eastAsia"/>
        </w:rPr>
        <w:t>觀光署北海岸及觀音山國家風景區管理處</w:t>
      </w:r>
      <w:r>
        <w:rPr>
          <w:rFonts w:hint="eastAsia"/>
        </w:rPr>
        <w:t>為例，該管理處即定有</w:t>
      </w:r>
      <w:r w:rsidRPr="00DA1C56">
        <w:rPr>
          <w:rFonts w:hint="eastAsia"/>
        </w:rPr>
        <w:t>「野柳地質</w:t>
      </w:r>
      <w:proofErr w:type="gramStart"/>
      <w:r w:rsidRPr="00DA1C56">
        <w:rPr>
          <w:rFonts w:hint="eastAsia"/>
        </w:rPr>
        <w:t>公園團客尖峰</w:t>
      </w:r>
      <w:proofErr w:type="gramEnd"/>
      <w:r w:rsidRPr="00DA1C56">
        <w:rPr>
          <w:rFonts w:hint="eastAsia"/>
        </w:rPr>
        <w:t>分流計畫」，控管尖峰時</w:t>
      </w:r>
      <w:r w:rsidRPr="00DA1C56">
        <w:rPr>
          <w:rFonts w:hint="eastAsia"/>
        </w:rPr>
        <w:lastRenderedPageBreak/>
        <w:t>段野柳地質公園遊園人數，以維護園區的遊憩品質</w:t>
      </w:r>
      <w:r>
        <w:rPr>
          <w:rFonts w:hint="eastAsia"/>
        </w:rPr>
        <w:t>，</w:t>
      </w:r>
      <w:proofErr w:type="gramStart"/>
      <w:r>
        <w:rPr>
          <w:rFonts w:hint="eastAsia"/>
        </w:rPr>
        <w:t>先予敘</w:t>
      </w:r>
      <w:proofErr w:type="gramEnd"/>
      <w:r>
        <w:rPr>
          <w:rFonts w:hint="eastAsia"/>
        </w:rPr>
        <w:t>明</w:t>
      </w:r>
      <w:r w:rsidRPr="00DA1C56">
        <w:rPr>
          <w:rFonts w:hint="eastAsia"/>
        </w:rPr>
        <w:t>。</w:t>
      </w:r>
    </w:p>
    <w:p w:rsidR="00B26583" w:rsidRPr="00FA7B13" w:rsidRDefault="00B26583" w:rsidP="00B26583">
      <w:pPr>
        <w:pStyle w:val="3"/>
        <w:numPr>
          <w:ilvl w:val="2"/>
          <w:numId w:val="1"/>
        </w:numPr>
      </w:pPr>
      <w:r w:rsidRPr="00FA7B13">
        <w:rPr>
          <w:rFonts w:hint="eastAsia"/>
        </w:rPr>
        <w:t>小琉球，</w:t>
      </w:r>
      <w:r>
        <w:rPr>
          <w:rFonts w:hint="eastAsia"/>
        </w:rPr>
        <w:t>係</w:t>
      </w:r>
      <w:r w:rsidRPr="00FA7B13">
        <w:rPr>
          <w:rFonts w:hint="eastAsia"/>
        </w:rPr>
        <w:t>臺灣屏東縣西南方外海的屏東縣琉球鄉，</w:t>
      </w:r>
      <w:proofErr w:type="gramStart"/>
      <w:r w:rsidRPr="00FA7B13">
        <w:rPr>
          <w:rFonts w:hint="eastAsia"/>
        </w:rPr>
        <w:t>全島皆位於</w:t>
      </w:r>
      <w:proofErr w:type="gramEnd"/>
      <w:r w:rsidRPr="00FA7B13">
        <w:rPr>
          <w:rFonts w:hint="eastAsia"/>
        </w:rPr>
        <w:t>大鵬灣國家風景區範圍之內。按交通部觀光署組織法第1條規定：「交通部為辦理全國觀光發展業務，特設觀光署。」同法第2條規定：「</w:t>
      </w:r>
      <w:proofErr w:type="gramStart"/>
      <w:r w:rsidRPr="00FA7B13">
        <w:rPr>
          <w:rFonts w:hint="eastAsia"/>
        </w:rPr>
        <w:t>本署掌</w:t>
      </w:r>
      <w:proofErr w:type="gramEnd"/>
      <w:r w:rsidRPr="00FA7B13">
        <w:rPr>
          <w:rFonts w:hint="eastAsia"/>
        </w:rPr>
        <w:t>理下列事項：</w:t>
      </w:r>
      <w:r w:rsidRPr="00215B62">
        <w:rPr>
          <w:rFonts w:hAnsi="標楷體" w:hint="eastAsia"/>
        </w:rPr>
        <w:t>…</w:t>
      </w:r>
      <w:proofErr w:type="gramStart"/>
      <w:r w:rsidRPr="00215B62">
        <w:rPr>
          <w:rFonts w:hAnsi="標楷體" w:hint="eastAsia"/>
        </w:rPr>
        <w:t>…</w:t>
      </w:r>
      <w:proofErr w:type="gramEnd"/>
      <w:r w:rsidRPr="00FA7B13">
        <w:rPr>
          <w:rFonts w:hint="eastAsia"/>
        </w:rPr>
        <w:t>四、國家級風景特定區之規劃、建設及管理；直轄市、縣（市）級風景特定區與其他觀光景點開發建設之協助及督導。」</w:t>
      </w:r>
      <w:r w:rsidRPr="00215B62">
        <w:rPr>
          <w:rFonts w:hint="eastAsia"/>
        </w:rPr>
        <w:t>交通部觀光署各國家風景區管理處組織準則</w:t>
      </w:r>
      <w:r>
        <w:rPr>
          <w:rFonts w:hint="eastAsia"/>
        </w:rPr>
        <w:t>第1條及第2條則分別規定：「交通部觀光署為辦理各國家風景區之建設、開發、管理及觀光發展業務，特設各國家風景區管理處（以下簡稱管理處）。」、「管理處掌理下列事項：一、國家風景區觀光資源之調查；國家風景區內規劃、開發與保育及生態、地質、景觀、水域資源之維護…</w:t>
      </w:r>
      <w:proofErr w:type="gramStart"/>
      <w:r>
        <w:rPr>
          <w:rFonts w:hint="eastAsia"/>
        </w:rPr>
        <w:t>…</w:t>
      </w:r>
      <w:proofErr w:type="gramEnd"/>
      <w:r>
        <w:rPr>
          <w:rFonts w:hint="eastAsia"/>
        </w:rPr>
        <w:t>。」而該</w:t>
      </w:r>
      <w:r w:rsidRPr="00FA7B13">
        <w:rPr>
          <w:rFonts w:hint="eastAsia"/>
        </w:rPr>
        <w:t>署行政資訊網網站</w:t>
      </w:r>
      <w:proofErr w:type="gramStart"/>
      <w:r w:rsidRPr="00FA7B13">
        <w:rPr>
          <w:rFonts w:hint="eastAsia"/>
        </w:rPr>
        <w:t>亦於鵬管</w:t>
      </w:r>
      <w:proofErr w:type="gramEnd"/>
      <w:r w:rsidRPr="00FA7B13">
        <w:rPr>
          <w:rFonts w:hint="eastAsia"/>
        </w:rPr>
        <w:t>處管理範圍中敘明</w:t>
      </w:r>
      <w:r w:rsidRPr="00215B62">
        <w:rPr>
          <w:rFonts w:hAnsi="標楷體" w:hint="eastAsia"/>
        </w:rPr>
        <w:t>：「</w:t>
      </w:r>
      <w:r w:rsidRPr="00FA7B13">
        <w:rPr>
          <w:rFonts w:hint="eastAsia"/>
        </w:rPr>
        <w:t>為能符合琉球鄉民意及提振當地觀光事業，於89年04月24日奉行政院核定正式將琉球風景特定區納入大鵬灣國家風景區範圍內。」</w:t>
      </w:r>
      <w:r>
        <w:rPr>
          <w:rStyle w:val="afe"/>
        </w:rPr>
        <w:footnoteReference w:id="5"/>
      </w:r>
      <w:proofErr w:type="gramStart"/>
      <w:r w:rsidRPr="00FA7B13">
        <w:rPr>
          <w:rFonts w:hint="eastAsia"/>
        </w:rPr>
        <w:t>爰</w:t>
      </w:r>
      <w:proofErr w:type="gramEnd"/>
      <w:r w:rsidRPr="00FA7B13">
        <w:rPr>
          <w:rFonts w:hint="eastAsia"/>
        </w:rPr>
        <w:t>針對小琉球遊客量、遊憩行為等事項進行規劃、建設及管理，</w:t>
      </w:r>
      <w:proofErr w:type="gramStart"/>
      <w:r w:rsidRPr="00FA7B13">
        <w:rPr>
          <w:rFonts w:hint="eastAsia"/>
        </w:rPr>
        <w:t>係屬鵬</w:t>
      </w:r>
      <w:proofErr w:type="gramEnd"/>
      <w:r w:rsidRPr="00FA7B13">
        <w:rPr>
          <w:rFonts w:hint="eastAsia"/>
        </w:rPr>
        <w:t>管處業務範疇</w:t>
      </w:r>
      <w:r>
        <w:rPr>
          <w:rFonts w:hint="eastAsia"/>
        </w:rPr>
        <w:t>，並由觀光署主管之</w:t>
      </w:r>
      <w:r w:rsidRPr="00215B62">
        <w:rPr>
          <w:rFonts w:hAnsi="標楷體" w:hint="eastAsia"/>
        </w:rPr>
        <w:t>。</w:t>
      </w:r>
    </w:p>
    <w:p w:rsidR="00B26583" w:rsidRDefault="00B26583" w:rsidP="00B26583">
      <w:pPr>
        <w:pStyle w:val="3"/>
        <w:numPr>
          <w:ilvl w:val="2"/>
          <w:numId w:val="1"/>
        </w:numPr>
      </w:pPr>
      <w:r>
        <w:rPr>
          <w:rFonts w:hint="eastAsia"/>
        </w:rPr>
        <w:t>如調查意見</w:t>
      </w:r>
      <w:proofErr w:type="gramStart"/>
      <w:r>
        <w:rPr>
          <w:rFonts w:hint="eastAsia"/>
        </w:rPr>
        <w:t>一所述</w:t>
      </w:r>
      <w:proofErr w:type="gramEnd"/>
      <w:r>
        <w:rPr>
          <w:rFonts w:hint="eastAsia"/>
        </w:rPr>
        <w:t>，</w:t>
      </w:r>
      <w:r w:rsidRPr="00FA7B13">
        <w:rPr>
          <w:rFonts w:hint="eastAsia"/>
        </w:rPr>
        <w:t>近年小琉球因遊客過多引發生態失衡之聲浪湧現，據財團法人綠色和平基金會112年調查報告</w:t>
      </w:r>
      <w:r w:rsidRPr="00FA7B13">
        <w:rPr>
          <w:rStyle w:val="afe"/>
        </w:rPr>
        <w:footnoteReference w:id="6"/>
      </w:r>
      <w:r w:rsidRPr="00FA7B13">
        <w:rPr>
          <w:rFonts w:hint="eastAsia"/>
        </w:rPr>
        <w:t>顯示，小琉球沿岸魚類單位面積個</w:t>
      </w:r>
      <w:r w:rsidRPr="00FA7B13">
        <w:rPr>
          <w:rFonts w:hint="eastAsia"/>
        </w:rPr>
        <w:lastRenderedPageBreak/>
        <w:t>體數由109年的2.5隻降至112年的0.6隻，足見小琉球魚類資源持續衰退；且小琉球各樣點的珊瑚礁系統皆出現「優勢物種單一化」，亦顯示珊瑚礁生態系逐漸失衡。本院諮詢相關專家學者，對小琉球觀光人數長年不減之看法</w:t>
      </w:r>
      <w:r>
        <w:rPr>
          <w:rFonts w:hint="eastAsia"/>
        </w:rPr>
        <w:t>則</w:t>
      </w:r>
      <w:r w:rsidRPr="00FA7B13">
        <w:rPr>
          <w:rFonts w:hint="eastAsia"/>
        </w:rPr>
        <w:t>包括：「珊瑚礁生態系單位面積價值最高，復育成本也最高。人類過度捕撈珊瑚礁生物，加上觀光旅遊與開發土地，沉積物與廢水污染，都造成珊瑚率退。大量遊客進來，會有很多踩踏破壞，而小琉球因為人潮很多，浮</w:t>
      </w:r>
      <w:r>
        <w:rPr>
          <w:rFonts w:hint="eastAsia"/>
        </w:rPr>
        <w:t>潛</w:t>
      </w:r>
      <w:r w:rsidRPr="00FA7B13">
        <w:rPr>
          <w:rFonts w:hint="eastAsia"/>
        </w:rPr>
        <w:t>、</w:t>
      </w:r>
      <w:proofErr w:type="gramStart"/>
      <w:r w:rsidRPr="00FA7B13">
        <w:rPr>
          <w:rFonts w:hint="eastAsia"/>
        </w:rPr>
        <w:t>潮間帶活動</w:t>
      </w:r>
      <w:proofErr w:type="gramEnd"/>
      <w:r w:rsidRPr="00FA7B13">
        <w:rPr>
          <w:rFonts w:hint="eastAsia"/>
        </w:rPr>
        <w:t>多，造成很多踩踏，對珊瑚礁影響很大。」、「小琉球珊瑚礁衰退，人的問題還蠻多的，很大的問題就是遊客太多，遊客多民宿就多，民宿區要開發，土地開發污染就多，民宿用水多，排放廢水就也多。」足見眾多遊客衍生</w:t>
      </w:r>
      <w:r>
        <w:rPr>
          <w:rFonts w:hint="eastAsia"/>
        </w:rPr>
        <w:t>旅遊</w:t>
      </w:r>
      <w:r w:rsidRPr="00FA7B13">
        <w:rPr>
          <w:rFonts w:hint="eastAsia"/>
        </w:rPr>
        <w:t>住宿、污水排放及海域遊憩等問題，</w:t>
      </w:r>
      <w:proofErr w:type="gramStart"/>
      <w:r w:rsidRPr="00FA7B13">
        <w:rPr>
          <w:rFonts w:hint="eastAsia"/>
        </w:rPr>
        <w:t>均對小</w:t>
      </w:r>
      <w:proofErr w:type="gramEnd"/>
      <w:r w:rsidRPr="00FA7B13">
        <w:rPr>
          <w:rFonts w:hint="eastAsia"/>
        </w:rPr>
        <w:t>琉球海洋生態產生巨大影響。</w:t>
      </w:r>
    </w:p>
    <w:p w:rsidR="00B26583" w:rsidRDefault="00B26583" w:rsidP="00B26583">
      <w:pPr>
        <w:pStyle w:val="3"/>
        <w:numPr>
          <w:ilvl w:val="2"/>
          <w:numId w:val="1"/>
        </w:numPr>
      </w:pPr>
      <w:proofErr w:type="gramStart"/>
      <w:r>
        <w:rPr>
          <w:rFonts w:hint="eastAsia"/>
        </w:rPr>
        <w:t>查</w:t>
      </w:r>
      <w:r w:rsidRPr="00AE0D2B">
        <w:rPr>
          <w:rFonts w:hint="eastAsia"/>
        </w:rPr>
        <w:t>鵬管</w:t>
      </w:r>
      <w:proofErr w:type="gramEnd"/>
      <w:r w:rsidRPr="00AE0D2B">
        <w:rPr>
          <w:rFonts w:hint="eastAsia"/>
        </w:rPr>
        <w:t>處107年</w:t>
      </w:r>
      <w:r>
        <w:rPr>
          <w:rFonts w:hint="eastAsia"/>
        </w:rPr>
        <w:t>曾</w:t>
      </w:r>
      <w:r w:rsidRPr="00AE0D2B">
        <w:rPr>
          <w:rFonts w:hint="eastAsia"/>
        </w:rPr>
        <w:t>委託中華民國戶外遊憩學會進行「琉球風景特定區遊憩承載量調查評估」，該調查報告結果略以：</w:t>
      </w:r>
      <w:proofErr w:type="gramStart"/>
      <w:r w:rsidRPr="00AE0D2B">
        <w:rPr>
          <w:rFonts w:hint="eastAsia"/>
        </w:rPr>
        <w:t>推估小琉球</w:t>
      </w:r>
      <w:proofErr w:type="gramEnd"/>
      <w:r w:rsidRPr="00AE0D2B">
        <w:rPr>
          <w:rFonts w:hint="eastAsia"/>
        </w:rPr>
        <w:t>全年承載量約200萬人，1天1萬人次以下為舒適，1萬到1萬5,000人次則須採適度的分流措施，1萬5,000人次到達管控階段，需進行較嚴格的限制例如人數管制、收費。</w:t>
      </w:r>
      <w:r>
        <w:rPr>
          <w:rFonts w:hint="eastAsia"/>
        </w:rPr>
        <w:t>檢視小琉球近年觀光人數增長情形(詳下表)，雖</w:t>
      </w:r>
      <w:r w:rsidRPr="00FA7B13">
        <w:rPr>
          <w:rFonts w:hint="eastAsia"/>
        </w:rPr>
        <w:t>102至112年間，各年度至小琉球人數均介於100至145萬餘人</w:t>
      </w:r>
      <w:proofErr w:type="gramStart"/>
      <w:r w:rsidRPr="00FA7B13">
        <w:rPr>
          <w:rFonts w:hint="eastAsia"/>
        </w:rPr>
        <w:t>之間，</w:t>
      </w:r>
      <w:proofErr w:type="gramEnd"/>
      <w:r w:rsidRPr="00FA7B13">
        <w:rPr>
          <w:rFonts w:hint="eastAsia"/>
        </w:rPr>
        <w:t>並未超出鵬管處107年委託調查評估之人數承載量</w:t>
      </w:r>
      <w:r>
        <w:rPr>
          <w:rFonts w:hint="eastAsia"/>
        </w:rPr>
        <w:t>；惟如</w:t>
      </w:r>
      <w:r w:rsidRPr="00AE0D2B">
        <w:rPr>
          <w:rFonts w:hint="eastAsia"/>
        </w:rPr>
        <w:t>以旅遊旺季(4至10月份)每日平均登島人數</w:t>
      </w:r>
      <w:r>
        <w:rPr>
          <w:rFonts w:hint="eastAsia"/>
        </w:rPr>
        <w:t>計算</w:t>
      </w:r>
      <w:r w:rsidRPr="00AE0D2B">
        <w:rPr>
          <w:rFonts w:hint="eastAsia"/>
        </w:rPr>
        <w:t>，102年為2,878人，至112年已高達4,430人，漲幅</w:t>
      </w:r>
      <w:r>
        <w:rPr>
          <w:rFonts w:hint="eastAsia"/>
        </w:rPr>
        <w:t>已逾</w:t>
      </w:r>
      <w:r w:rsidRPr="00AE0D2B">
        <w:rPr>
          <w:rFonts w:hint="eastAsia"/>
        </w:rPr>
        <w:t>50%。</w:t>
      </w:r>
      <w:r>
        <w:rPr>
          <w:rFonts w:hint="eastAsia"/>
        </w:rPr>
        <w:t>且</w:t>
      </w:r>
      <w:r w:rsidRPr="00FA7B13">
        <w:rPr>
          <w:rFonts w:hint="eastAsia"/>
        </w:rPr>
        <w:t>檢視該全篇報告，評估</w:t>
      </w:r>
      <w:r w:rsidRPr="00FA7B13">
        <w:rPr>
          <w:rFonts w:hint="eastAsia"/>
        </w:rPr>
        <w:lastRenderedPageBreak/>
        <w:t>計算小琉球遊憩承載量之方式，多僅考量交通接駁、電量、水資源、實體設施設備(如：停車位、公廁數、餐飲區座位)等因素，對於小琉球生態環境負荷之評估幾近全無。</w:t>
      </w:r>
      <w:r w:rsidRPr="009072EF">
        <w:rPr>
          <w:rFonts w:hint="eastAsia"/>
        </w:rPr>
        <w:t>本院諮詢相關專家學者，部分學者</w:t>
      </w:r>
      <w:proofErr w:type="gramStart"/>
      <w:r>
        <w:rPr>
          <w:rFonts w:hint="eastAsia"/>
        </w:rPr>
        <w:t>對於</w:t>
      </w:r>
      <w:r w:rsidRPr="009072EF">
        <w:rPr>
          <w:rFonts w:hint="eastAsia"/>
        </w:rPr>
        <w:t>鵬</w:t>
      </w:r>
      <w:proofErr w:type="gramEnd"/>
      <w:r w:rsidRPr="009072EF">
        <w:rPr>
          <w:rFonts w:hint="eastAsia"/>
        </w:rPr>
        <w:t>管處107年委託中華民國戶外遊憩學會之評估結果</w:t>
      </w:r>
      <w:r>
        <w:rPr>
          <w:rFonts w:hint="eastAsia"/>
        </w:rPr>
        <w:t>之</w:t>
      </w:r>
      <w:r w:rsidRPr="009072EF">
        <w:rPr>
          <w:rFonts w:hint="eastAsia"/>
        </w:rPr>
        <w:t>看法包括：「（小琉球）觀光人數我們可能沒有辦法限制，很難評估，也不太</w:t>
      </w:r>
      <w:proofErr w:type="gramStart"/>
      <w:r w:rsidRPr="009072EF">
        <w:rPr>
          <w:rFonts w:hint="eastAsia"/>
        </w:rPr>
        <w:t>有人敢估</w:t>
      </w:r>
      <w:proofErr w:type="gramEnd"/>
      <w:r w:rsidRPr="009072EF">
        <w:rPr>
          <w:rFonts w:hint="eastAsia"/>
        </w:rPr>
        <w:t>，</w:t>
      </w:r>
      <w:r w:rsidRPr="00DC2B05">
        <w:rPr>
          <w:rFonts w:hint="eastAsia"/>
          <w:u w:val="single"/>
        </w:rPr>
        <w:t>鵬管處估計的承載量，沒有考慮到很多生態保育的部分</w:t>
      </w:r>
      <w:r w:rsidRPr="009072EF">
        <w:rPr>
          <w:rFonts w:hint="eastAsia"/>
        </w:rPr>
        <w:t>。」、「離島屬於敏感生態環境，小琉球為天然珊瑚礁島，能承受的觀光人數有限。</w:t>
      </w:r>
      <w:r w:rsidRPr="00DC2B05">
        <w:rPr>
          <w:rFonts w:hint="eastAsia"/>
          <w:u w:val="single"/>
        </w:rPr>
        <w:t>主管單位估計島上能承受的遊客承載量，必須以生態為考慮重點。</w:t>
      </w:r>
      <w:r w:rsidRPr="009072EF">
        <w:rPr>
          <w:rFonts w:hint="eastAsia"/>
        </w:rPr>
        <w:t>」</w:t>
      </w:r>
      <w:proofErr w:type="gramStart"/>
      <w:r>
        <w:rPr>
          <w:rFonts w:hint="eastAsia"/>
        </w:rPr>
        <w:t>而</w:t>
      </w:r>
      <w:r w:rsidRPr="00104963">
        <w:rPr>
          <w:rFonts w:hint="eastAsia"/>
        </w:rPr>
        <w:t>海委</w:t>
      </w:r>
      <w:r w:rsidRPr="00DC2B05">
        <w:rPr>
          <w:rFonts w:hAnsi="標楷體" w:hint="eastAsia"/>
        </w:rPr>
        <w:t>會</w:t>
      </w:r>
      <w:r>
        <w:rPr>
          <w:rFonts w:hAnsi="標楷體" w:hint="eastAsia"/>
        </w:rPr>
        <w:t>亦</w:t>
      </w:r>
      <w:r w:rsidRPr="00DC2B05">
        <w:rPr>
          <w:rFonts w:hAnsi="標楷體" w:hint="eastAsia"/>
        </w:rPr>
        <w:t>認鵬</w:t>
      </w:r>
      <w:proofErr w:type="gramEnd"/>
      <w:r w:rsidRPr="00DC2B05">
        <w:rPr>
          <w:rFonts w:hAnsi="標楷體" w:hint="eastAsia"/>
        </w:rPr>
        <w:t>管處107年委託之評估結果，顯未考量遊客數量對當地生態的影響及遊客過度集中於濱海景點的現象，故該會自111年5月19日成立小琉球遊憩與保育大平台成立以來，召開多次研商討論會議，且分別於</w:t>
      </w:r>
      <w:r w:rsidRPr="000C46A4">
        <w:rPr>
          <w:rFonts w:hint="eastAsia"/>
        </w:rPr>
        <w:t>111年8月25日</w:t>
      </w:r>
      <w:r>
        <w:rPr>
          <w:rFonts w:hint="eastAsia"/>
        </w:rPr>
        <w:t>、112年7月17日、112年12月15日於會中，要求</w:t>
      </w:r>
      <w:r w:rsidRPr="000C46A4">
        <w:rPr>
          <w:rFonts w:hint="eastAsia"/>
        </w:rPr>
        <w:t>鵬管處依發展觀光條例第6條第2項之規定，因應目前觀光遊憩及環境生態狀況，重新針對遊客數量與島上遊憩承載做適度評估及調整</w:t>
      </w:r>
      <w:r>
        <w:rPr>
          <w:rFonts w:hint="eastAsia"/>
        </w:rPr>
        <w:t>，並</w:t>
      </w:r>
      <w:r w:rsidRPr="00EE0FEF">
        <w:rPr>
          <w:rFonts w:hint="eastAsia"/>
        </w:rPr>
        <w:t>請交通部審慎評估小琉球兼具觀光發展及生態保育之每日觀光人數</w:t>
      </w:r>
      <w:proofErr w:type="gramStart"/>
      <w:r w:rsidRPr="00EE0FEF">
        <w:rPr>
          <w:rFonts w:hint="eastAsia"/>
        </w:rPr>
        <w:t>容受</w:t>
      </w:r>
      <w:proofErr w:type="gramEnd"/>
      <w:r w:rsidRPr="00EE0FEF">
        <w:rPr>
          <w:rFonts w:hint="eastAsia"/>
        </w:rPr>
        <w:t>量，於113年5月完成評估報告，以作為其總量管制最適規模</w:t>
      </w:r>
      <w:proofErr w:type="gramStart"/>
      <w:r w:rsidRPr="00EE0FEF">
        <w:rPr>
          <w:rFonts w:hint="eastAsia"/>
        </w:rPr>
        <w:t>之參</w:t>
      </w:r>
      <w:proofErr w:type="gramEnd"/>
      <w:r w:rsidRPr="00EE0FEF">
        <w:rPr>
          <w:rFonts w:hint="eastAsia"/>
        </w:rPr>
        <w:t>據</w:t>
      </w:r>
      <w:r w:rsidRPr="00DC2B05">
        <w:rPr>
          <w:rFonts w:hAnsi="標楷體" w:hint="eastAsia"/>
        </w:rPr>
        <w:t>。</w:t>
      </w:r>
    </w:p>
    <w:p w:rsidR="00B26583" w:rsidRPr="00FA7B13" w:rsidRDefault="00B26583" w:rsidP="00B26583">
      <w:pPr>
        <w:pStyle w:val="a4"/>
        <w:ind w:left="480" w:hanging="480"/>
        <w:jc w:val="center"/>
      </w:pPr>
      <w:r w:rsidRPr="00FA7B13">
        <w:rPr>
          <w:rFonts w:hint="eastAsia"/>
        </w:rPr>
        <w:t>東港往小琉球102至112年各年度觀光人數統計表</w:t>
      </w:r>
    </w:p>
    <w:p w:rsidR="00B26583" w:rsidRPr="00FA7B13" w:rsidRDefault="00B26583" w:rsidP="00B26583">
      <w:pPr>
        <w:pStyle w:val="3"/>
        <w:numPr>
          <w:ilvl w:val="0"/>
          <w:numId w:val="0"/>
        </w:numPr>
        <w:spacing w:line="360" w:lineRule="exact"/>
        <w:jc w:val="right"/>
        <w:rPr>
          <w:sz w:val="24"/>
        </w:rPr>
      </w:pPr>
      <w:r w:rsidRPr="00FA7B13">
        <w:rPr>
          <w:rFonts w:hint="eastAsia"/>
          <w:sz w:val="24"/>
        </w:rPr>
        <w:t>單位：人</w:t>
      </w:r>
    </w:p>
    <w:tbl>
      <w:tblPr>
        <w:tblStyle w:val="af8"/>
        <w:tblW w:w="8761" w:type="dxa"/>
        <w:tblInd w:w="23" w:type="dxa"/>
        <w:tblLook w:val="04A0" w:firstRow="1" w:lastRow="0" w:firstColumn="1" w:lastColumn="0" w:noHBand="0" w:noVBand="1"/>
      </w:tblPr>
      <w:tblGrid>
        <w:gridCol w:w="2786"/>
        <w:gridCol w:w="2856"/>
        <w:gridCol w:w="3119"/>
      </w:tblGrid>
      <w:tr w:rsidR="00B26583" w:rsidRPr="00FA7B13" w:rsidTr="00873E26">
        <w:trPr>
          <w:tblHeader/>
        </w:trPr>
        <w:tc>
          <w:tcPr>
            <w:tcW w:w="2786" w:type="dxa"/>
            <w:shd w:val="clear" w:color="auto" w:fill="EAF1DD" w:themeFill="accent3" w:themeFillTint="33"/>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年度</w:t>
            </w:r>
          </w:p>
        </w:tc>
        <w:tc>
          <w:tcPr>
            <w:tcW w:w="2856" w:type="dxa"/>
            <w:shd w:val="clear" w:color="auto" w:fill="EAF1DD" w:themeFill="accent3" w:themeFillTint="33"/>
            <w:vAlign w:val="center"/>
          </w:tcPr>
          <w:p w:rsidR="00B26583" w:rsidRPr="00FA7B13" w:rsidRDefault="00B26583" w:rsidP="00873E26">
            <w:pPr>
              <w:suppressAutoHyphens/>
              <w:overflowPunct/>
              <w:autoSpaceDE/>
              <w:spacing w:line="320" w:lineRule="exact"/>
              <w:jc w:val="center"/>
              <w:textAlignment w:val="baseline"/>
              <w:rPr>
                <w:rFonts w:hAnsi="標楷體"/>
                <w:kern w:val="3"/>
                <w:sz w:val="28"/>
                <w:szCs w:val="28"/>
              </w:rPr>
            </w:pPr>
            <w:r w:rsidRPr="00FA7B13">
              <w:rPr>
                <w:rFonts w:hAnsi="標楷體" w:hint="eastAsia"/>
                <w:kern w:val="3"/>
                <w:sz w:val="28"/>
                <w:szCs w:val="28"/>
              </w:rPr>
              <w:t>旺季(4至10月)</w:t>
            </w:r>
          </w:p>
          <w:p w:rsidR="00B26583" w:rsidRPr="00FA7B13" w:rsidRDefault="00B26583" w:rsidP="00873E26">
            <w:pPr>
              <w:suppressAutoHyphens/>
              <w:overflowPunct/>
              <w:autoSpaceDE/>
              <w:spacing w:line="320" w:lineRule="exact"/>
              <w:jc w:val="center"/>
              <w:textAlignment w:val="baseline"/>
              <w:rPr>
                <w:rFonts w:hAnsi="標楷體"/>
                <w:kern w:val="3"/>
                <w:sz w:val="28"/>
                <w:szCs w:val="28"/>
              </w:rPr>
            </w:pPr>
            <w:r w:rsidRPr="00FA7B13">
              <w:rPr>
                <w:rFonts w:hAnsi="標楷體"/>
                <w:kern w:val="3"/>
                <w:sz w:val="28"/>
                <w:szCs w:val="28"/>
              </w:rPr>
              <w:t>平均每日登島人數</w:t>
            </w:r>
          </w:p>
        </w:tc>
        <w:tc>
          <w:tcPr>
            <w:tcW w:w="3119" w:type="dxa"/>
            <w:shd w:val="clear" w:color="auto" w:fill="EAF1DD" w:themeFill="accent3" w:themeFillTint="33"/>
            <w:vAlign w:val="center"/>
          </w:tcPr>
          <w:p w:rsidR="00B26583" w:rsidRPr="00FA7B13" w:rsidRDefault="00B26583" w:rsidP="00873E26">
            <w:pPr>
              <w:suppressAutoHyphens/>
              <w:overflowPunct/>
              <w:autoSpaceDE/>
              <w:spacing w:line="320" w:lineRule="atLeast"/>
              <w:jc w:val="center"/>
              <w:textAlignment w:val="baseline"/>
              <w:rPr>
                <w:rFonts w:hAnsi="標楷體"/>
                <w:kern w:val="3"/>
                <w:sz w:val="28"/>
                <w:szCs w:val="28"/>
              </w:rPr>
            </w:pPr>
            <w:r w:rsidRPr="00FA7B13">
              <w:rPr>
                <w:rFonts w:hAnsi="標楷體" w:hint="eastAsia"/>
                <w:kern w:val="3"/>
                <w:sz w:val="28"/>
                <w:szCs w:val="28"/>
              </w:rPr>
              <w:t>當年度</w:t>
            </w:r>
          </w:p>
          <w:p w:rsidR="00B26583" w:rsidRPr="00FA7B13" w:rsidRDefault="00B26583" w:rsidP="00873E26">
            <w:pPr>
              <w:suppressAutoHyphens/>
              <w:overflowPunct/>
              <w:autoSpaceDE/>
              <w:spacing w:line="320" w:lineRule="atLeast"/>
              <w:jc w:val="center"/>
              <w:textAlignment w:val="baseline"/>
              <w:rPr>
                <w:rFonts w:hAnsi="標楷體"/>
                <w:kern w:val="3"/>
                <w:sz w:val="28"/>
                <w:szCs w:val="28"/>
              </w:rPr>
            </w:pPr>
            <w:r w:rsidRPr="00FA7B13">
              <w:rPr>
                <w:rFonts w:hAnsi="標楷體" w:hint="eastAsia"/>
                <w:kern w:val="3"/>
                <w:sz w:val="28"/>
                <w:szCs w:val="28"/>
              </w:rPr>
              <w:t>登島人數</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102</w:t>
            </w:r>
          </w:p>
        </w:tc>
        <w:tc>
          <w:tcPr>
            <w:tcW w:w="2856" w:type="dxa"/>
          </w:tcPr>
          <w:p w:rsidR="00B26583" w:rsidRPr="00FA7B13" w:rsidRDefault="00B26583" w:rsidP="00873E26">
            <w:pPr>
              <w:jc w:val="right"/>
              <w:rPr>
                <w:sz w:val="28"/>
              </w:rPr>
            </w:pPr>
            <w:r w:rsidRPr="00FA7B13">
              <w:rPr>
                <w:sz w:val="28"/>
              </w:rPr>
              <w:t>2,878</w:t>
            </w:r>
          </w:p>
        </w:tc>
        <w:tc>
          <w:tcPr>
            <w:tcW w:w="3119" w:type="dxa"/>
          </w:tcPr>
          <w:p w:rsidR="00B26583" w:rsidRPr="00FA7B13" w:rsidRDefault="00B26583" w:rsidP="00873E26">
            <w:pPr>
              <w:jc w:val="right"/>
              <w:rPr>
                <w:sz w:val="28"/>
              </w:rPr>
            </w:pPr>
            <w:r w:rsidRPr="00FA7B13">
              <w:rPr>
                <w:sz w:val="28"/>
              </w:rPr>
              <w:t xml:space="preserve">1,018,403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103</w:t>
            </w:r>
          </w:p>
        </w:tc>
        <w:tc>
          <w:tcPr>
            <w:tcW w:w="2856" w:type="dxa"/>
          </w:tcPr>
          <w:p w:rsidR="00B26583" w:rsidRPr="00FA7B13" w:rsidRDefault="00B26583" w:rsidP="00873E26">
            <w:pPr>
              <w:jc w:val="right"/>
              <w:rPr>
                <w:sz w:val="28"/>
              </w:rPr>
            </w:pPr>
            <w:r w:rsidRPr="00FA7B13">
              <w:rPr>
                <w:sz w:val="28"/>
              </w:rPr>
              <w:t>3,154</w:t>
            </w:r>
          </w:p>
        </w:tc>
        <w:tc>
          <w:tcPr>
            <w:tcW w:w="3119" w:type="dxa"/>
          </w:tcPr>
          <w:p w:rsidR="00B26583" w:rsidRPr="00FA7B13" w:rsidRDefault="00B26583" w:rsidP="00873E26">
            <w:pPr>
              <w:jc w:val="right"/>
              <w:rPr>
                <w:sz w:val="28"/>
              </w:rPr>
            </w:pPr>
            <w:r w:rsidRPr="00FA7B13">
              <w:rPr>
                <w:sz w:val="28"/>
              </w:rPr>
              <w:t xml:space="preserve">1,060,696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104</w:t>
            </w:r>
          </w:p>
        </w:tc>
        <w:tc>
          <w:tcPr>
            <w:tcW w:w="2856" w:type="dxa"/>
          </w:tcPr>
          <w:p w:rsidR="00B26583" w:rsidRPr="00FA7B13" w:rsidRDefault="00B26583" w:rsidP="00873E26">
            <w:pPr>
              <w:jc w:val="right"/>
              <w:rPr>
                <w:sz w:val="28"/>
              </w:rPr>
            </w:pPr>
            <w:r w:rsidRPr="00FA7B13">
              <w:rPr>
                <w:sz w:val="28"/>
              </w:rPr>
              <w:t>3,718</w:t>
            </w:r>
          </w:p>
        </w:tc>
        <w:tc>
          <w:tcPr>
            <w:tcW w:w="3119" w:type="dxa"/>
          </w:tcPr>
          <w:p w:rsidR="00B26583" w:rsidRPr="00FA7B13" w:rsidRDefault="00B26583" w:rsidP="00873E26">
            <w:pPr>
              <w:jc w:val="right"/>
              <w:rPr>
                <w:sz w:val="28"/>
              </w:rPr>
            </w:pPr>
            <w:r w:rsidRPr="00FA7B13">
              <w:rPr>
                <w:sz w:val="28"/>
              </w:rPr>
              <w:t xml:space="preserve">1,171,678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lastRenderedPageBreak/>
              <w:t>105</w:t>
            </w:r>
          </w:p>
        </w:tc>
        <w:tc>
          <w:tcPr>
            <w:tcW w:w="2856" w:type="dxa"/>
          </w:tcPr>
          <w:p w:rsidR="00B26583" w:rsidRPr="00FA7B13" w:rsidRDefault="00B26583" w:rsidP="00873E26">
            <w:pPr>
              <w:jc w:val="right"/>
              <w:rPr>
                <w:sz w:val="28"/>
              </w:rPr>
            </w:pPr>
            <w:r w:rsidRPr="00FA7B13">
              <w:rPr>
                <w:sz w:val="28"/>
              </w:rPr>
              <w:t>3,801</w:t>
            </w:r>
          </w:p>
        </w:tc>
        <w:tc>
          <w:tcPr>
            <w:tcW w:w="3119" w:type="dxa"/>
          </w:tcPr>
          <w:p w:rsidR="00B26583" w:rsidRPr="00FA7B13" w:rsidRDefault="00B26583" w:rsidP="00873E26">
            <w:pPr>
              <w:jc w:val="right"/>
              <w:rPr>
                <w:sz w:val="28"/>
              </w:rPr>
            </w:pPr>
            <w:r w:rsidRPr="00FA7B13">
              <w:rPr>
                <w:sz w:val="28"/>
              </w:rPr>
              <w:t xml:space="preserve">1,172,966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106</w:t>
            </w:r>
          </w:p>
        </w:tc>
        <w:tc>
          <w:tcPr>
            <w:tcW w:w="2856" w:type="dxa"/>
          </w:tcPr>
          <w:p w:rsidR="00B26583" w:rsidRPr="00FA7B13" w:rsidRDefault="00B26583" w:rsidP="00873E26">
            <w:pPr>
              <w:jc w:val="right"/>
              <w:rPr>
                <w:sz w:val="28"/>
              </w:rPr>
            </w:pPr>
            <w:r w:rsidRPr="00FA7B13">
              <w:rPr>
                <w:sz w:val="28"/>
              </w:rPr>
              <w:t>4,219</w:t>
            </w:r>
          </w:p>
        </w:tc>
        <w:tc>
          <w:tcPr>
            <w:tcW w:w="3119" w:type="dxa"/>
          </w:tcPr>
          <w:p w:rsidR="00B26583" w:rsidRPr="00FA7B13" w:rsidRDefault="00B26583" w:rsidP="00873E26">
            <w:pPr>
              <w:jc w:val="right"/>
              <w:rPr>
                <w:sz w:val="28"/>
              </w:rPr>
            </w:pPr>
            <w:r w:rsidRPr="00FA7B13">
              <w:rPr>
                <w:sz w:val="28"/>
              </w:rPr>
              <w:t xml:space="preserve">1,330,825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107</w:t>
            </w:r>
          </w:p>
        </w:tc>
        <w:tc>
          <w:tcPr>
            <w:tcW w:w="2856" w:type="dxa"/>
          </w:tcPr>
          <w:p w:rsidR="00B26583" w:rsidRPr="00FA7B13" w:rsidRDefault="00B26583" w:rsidP="00873E26">
            <w:pPr>
              <w:jc w:val="right"/>
              <w:rPr>
                <w:sz w:val="28"/>
              </w:rPr>
            </w:pPr>
            <w:r w:rsidRPr="00FA7B13">
              <w:rPr>
                <w:sz w:val="28"/>
              </w:rPr>
              <w:t>4,378</w:t>
            </w:r>
          </w:p>
        </w:tc>
        <w:tc>
          <w:tcPr>
            <w:tcW w:w="3119" w:type="dxa"/>
          </w:tcPr>
          <w:p w:rsidR="00B26583" w:rsidRPr="00FA7B13" w:rsidRDefault="00B26583" w:rsidP="00873E26">
            <w:pPr>
              <w:jc w:val="right"/>
              <w:rPr>
                <w:sz w:val="28"/>
              </w:rPr>
            </w:pPr>
            <w:r w:rsidRPr="00FA7B13">
              <w:rPr>
                <w:sz w:val="28"/>
              </w:rPr>
              <w:t xml:space="preserve">1,373,254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108</w:t>
            </w:r>
          </w:p>
        </w:tc>
        <w:tc>
          <w:tcPr>
            <w:tcW w:w="2856" w:type="dxa"/>
            <w:vAlign w:val="center"/>
          </w:tcPr>
          <w:p w:rsidR="00B26583" w:rsidRPr="00FA7B13" w:rsidRDefault="00B26583" w:rsidP="00873E26">
            <w:pPr>
              <w:jc w:val="right"/>
              <w:rPr>
                <w:sz w:val="28"/>
              </w:rPr>
            </w:pPr>
            <w:r w:rsidRPr="00FA7B13">
              <w:rPr>
                <w:rFonts w:hint="eastAsia"/>
                <w:sz w:val="28"/>
              </w:rPr>
              <w:t>4,511</w:t>
            </w:r>
          </w:p>
        </w:tc>
        <w:tc>
          <w:tcPr>
            <w:tcW w:w="3119" w:type="dxa"/>
          </w:tcPr>
          <w:p w:rsidR="00B26583" w:rsidRPr="00FA7B13" w:rsidRDefault="00B26583" w:rsidP="00873E26">
            <w:pPr>
              <w:jc w:val="right"/>
              <w:rPr>
                <w:sz w:val="28"/>
              </w:rPr>
            </w:pPr>
            <w:r w:rsidRPr="00FA7B13">
              <w:rPr>
                <w:sz w:val="28"/>
              </w:rPr>
              <w:t xml:space="preserve">1,458,075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109</w:t>
            </w:r>
          </w:p>
        </w:tc>
        <w:tc>
          <w:tcPr>
            <w:tcW w:w="2856" w:type="dxa"/>
            <w:vAlign w:val="center"/>
          </w:tcPr>
          <w:p w:rsidR="00B26583" w:rsidRPr="00FA7B13" w:rsidRDefault="00B26583" w:rsidP="00873E26">
            <w:pPr>
              <w:jc w:val="right"/>
              <w:rPr>
                <w:sz w:val="28"/>
              </w:rPr>
            </w:pPr>
            <w:r w:rsidRPr="00FA7B13">
              <w:rPr>
                <w:rFonts w:hint="eastAsia"/>
                <w:sz w:val="28"/>
              </w:rPr>
              <w:t>4,134</w:t>
            </w:r>
          </w:p>
        </w:tc>
        <w:tc>
          <w:tcPr>
            <w:tcW w:w="3119" w:type="dxa"/>
          </w:tcPr>
          <w:p w:rsidR="00B26583" w:rsidRPr="00FA7B13" w:rsidRDefault="00B26583" w:rsidP="00873E26">
            <w:pPr>
              <w:jc w:val="right"/>
              <w:rPr>
                <w:sz w:val="28"/>
              </w:rPr>
            </w:pPr>
            <w:r w:rsidRPr="00FA7B13">
              <w:rPr>
                <w:sz w:val="28"/>
              </w:rPr>
              <w:t xml:space="preserve">1,207,475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110</w:t>
            </w:r>
          </w:p>
        </w:tc>
        <w:tc>
          <w:tcPr>
            <w:tcW w:w="2856" w:type="dxa"/>
            <w:vAlign w:val="center"/>
          </w:tcPr>
          <w:p w:rsidR="00B26583" w:rsidRPr="00FA7B13" w:rsidRDefault="00B26583" w:rsidP="00873E26">
            <w:pPr>
              <w:jc w:val="right"/>
              <w:rPr>
                <w:sz w:val="28"/>
              </w:rPr>
            </w:pPr>
            <w:r w:rsidRPr="00FA7B13">
              <w:rPr>
                <w:rFonts w:hint="eastAsia"/>
                <w:sz w:val="28"/>
              </w:rPr>
              <w:t>2,341</w:t>
            </w:r>
          </w:p>
        </w:tc>
        <w:tc>
          <w:tcPr>
            <w:tcW w:w="3119" w:type="dxa"/>
          </w:tcPr>
          <w:p w:rsidR="00B26583" w:rsidRPr="00FA7B13" w:rsidRDefault="00B26583" w:rsidP="00873E26">
            <w:pPr>
              <w:jc w:val="right"/>
              <w:rPr>
                <w:sz w:val="28"/>
              </w:rPr>
            </w:pPr>
            <w:r w:rsidRPr="00FA7B13">
              <w:rPr>
                <w:sz w:val="28"/>
              </w:rPr>
              <w:t xml:space="preserve">1,001,373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111</w:t>
            </w:r>
          </w:p>
        </w:tc>
        <w:tc>
          <w:tcPr>
            <w:tcW w:w="2856" w:type="dxa"/>
            <w:vAlign w:val="center"/>
          </w:tcPr>
          <w:p w:rsidR="00B26583" w:rsidRPr="00FA7B13" w:rsidRDefault="00B26583" w:rsidP="00873E26">
            <w:pPr>
              <w:jc w:val="right"/>
              <w:rPr>
                <w:sz w:val="28"/>
              </w:rPr>
            </w:pPr>
            <w:r w:rsidRPr="00FA7B13">
              <w:rPr>
                <w:rFonts w:hint="eastAsia"/>
                <w:sz w:val="28"/>
              </w:rPr>
              <w:t>3,921</w:t>
            </w:r>
          </w:p>
        </w:tc>
        <w:tc>
          <w:tcPr>
            <w:tcW w:w="3119" w:type="dxa"/>
          </w:tcPr>
          <w:p w:rsidR="00B26583" w:rsidRPr="00FA7B13" w:rsidRDefault="00B26583" w:rsidP="00873E26">
            <w:pPr>
              <w:jc w:val="right"/>
              <w:rPr>
                <w:sz w:val="28"/>
              </w:rPr>
            </w:pPr>
            <w:r w:rsidRPr="00FA7B13">
              <w:rPr>
                <w:sz w:val="28"/>
              </w:rPr>
              <w:t xml:space="preserve">1,188,150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112</w:t>
            </w:r>
          </w:p>
        </w:tc>
        <w:tc>
          <w:tcPr>
            <w:tcW w:w="2856" w:type="dxa"/>
            <w:vAlign w:val="center"/>
          </w:tcPr>
          <w:p w:rsidR="00B26583" w:rsidRPr="00FA7B13" w:rsidRDefault="00B26583" w:rsidP="00873E26">
            <w:pPr>
              <w:jc w:val="right"/>
              <w:rPr>
                <w:sz w:val="28"/>
              </w:rPr>
            </w:pPr>
            <w:r w:rsidRPr="00FA7B13">
              <w:rPr>
                <w:rFonts w:hint="eastAsia"/>
                <w:sz w:val="28"/>
              </w:rPr>
              <w:t>4,430</w:t>
            </w:r>
          </w:p>
        </w:tc>
        <w:tc>
          <w:tcPr>
            <w:tcW w:w="3119" w:type="dxa"/>
          </w:tcPr>
          <w:p w:rsidR="00B26583" w:rsidRPr="00FA7B13" w:rsidRDefault="00B26583" w:rsidP="00873E26">
            <w:pPr>
              <w:jc w:val="right"/>
              <w:rPr>
                <w:sz w:val="28"/>
              </w:rPr>
            </w:pPr>
            <w:r w:rsidRPr="00FA7B13">
              <w:rPr>
                <w:sz w:val="28"/>
              </w:rPr>
              <w:t xml:space="preserve">1,334,669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sz w:val="28"/>
              </w:rPr>
              <w:t>113</w:t>
            </w:r>
          </w:p>
        </w:tc>
        <w:tc>
          <w:tcPr>
            <w:tcW w:w="2856" w:type="dxa"/>
            <w:vAlign w:val="center"/>
          </w:tcPr>
          <w:p w:rsidR="00B26583" w:rsidRPr="00FA7B13" w:rsidRDefault="00B26583" w:rsidP="00873E26">
            <w:pPr>
              <w:pStyle w:val="3"/>
              <w:numPr>
                <w:ilvl w:val="0"/>
                <w:numId w:val="0"/>
              </w:numPr>
              <w:spacing w:line="320" w:lineRule="exact"/>
              <w:jc w:val="right"/>
              <w:rPr>
                <w:sz w:val="28"/>
              </w:rPr>
            </w:pPr>
            <w:r w:rsidRPr="00FA7B13">
              <w:rPr>
                <w:rFonts w:hint="eastAsia"/>
                <w:sz w:val="28"/>
              </w:rPr>
              <w:t>4,857</w:t>
            </w:r>
          </w:p>
        </w:tc>
        <w:tc>
          <w:tcPr>
            <w:tcW w:w="3119" w:type="dxa"/>
          </w:tcPr>
          <w:p w:rsidR="00B26583" w:rsidRPr="00FA7B13" w:rsidRDefault="00B26583" w:rsidP="00873E26">
            <w:pPr>
              <w:jc w:val="right"/>
              <w:rPr>
                <w:sz w:val="28"/>
              </w:rPr>
            </w:pPr>
            <w:r w:rsidRPr="00FA7B13">
              <w:rPr>
                <w:sz w:val="28"/>
              </w:rPr>
              <w:t xml:space="preserve">651,618 </w:t>
            </w:r>
          </w:p>
        </w:tc>
      </w:tr>
    </w:tbl>
    <w:p w:rsidR="00B26583" w:rsidRPr="00FA7B13" w:rsidRDefault="00B26583" w:rsidP="00B26583">
      <w:pPr>
        <w:pStyle w:val="3"/>
        <w:numPr>
          <w:ilvl w:val="0"/>
          <w:numId w:val="0"/>
        </w:numPr>
        <w:spacing w:line="320" w:lineRule="exact"/>
        <w:ind w:left="708" w:hangingChars="272" w:hanging="708"/>
        <w:rPr>
          <w:sz w:val="24"/>
        </w:rPr>
      </w:pPr>
      <w:r w:rsidRPr="00FA7B13">
        <w:rPr>
          <w:rFonts w:hint="eastAsia"/>
          <w:sz w:val="24"/>
        </w:rPr>
        <w:t>備註：113年統計至6月止。</w:t>
      </w:r>
    </w:p>
    <w:p w:rsidR="00B26583" w:rsidRDefault="00B26583" w:rsidP="00B26583">
      <w:pPr>
        <w:pStyle w:val="3"/>
        <w:numPr>
          <w:ilvl w:val="0"/>
          <w:numId w:val="0"/>
        </w:numPr>
        <w:rPr>
          <w:sz w:val="24"/>
        </w:rPr>
      </w:pPr>
      <w:r w:rsidRPr="00FA7B13">
        <w:rPr>
          <w:rFonts w:hint="eastAsia"/>
          <w:sz w:val="24"/>
        </w:rPr>
        <w:t>資料來源：</w:t>
      </w:r>
      <w:proofErr w:type="gramStart"/>
      <w:r w:rsidRPr="00FA7B13">
        <w:rPr>
          <w:rFonts w:hint="eastAsia"/>
          <w:sz w:val="24"/>
        </w:rPr>
        <w:t>本院按交通部</w:t>
      </w:r>
      <w:proofErr w:type="gramEnd"/>
      <w:r w:rsidRPr="00FA7B13">
        <w:rPr>
          <w:rFonts w:hint="eastAsia"/>
          <w:sz w:val="24"/>
        </w:rPr>
        <w:t>查復資料自行彙整</w:t>
      </w:r>
      <w:r>
        <w:rPr>
          <w:rFonts w:hint="eastAsia"/>
          <w:sz w:val="24"/>
        </w:rPr>
        <w:t>。</w:t>
      </w:r>
    </w:p>
    <w:p w:rsidR="00B26583" w:rsidRDefault="00B26583" w:rsidP="00B26583">
      <w:pPr>
        <w:pStyle w:val="3"/>
        <w:numPr>
          <w:ilvl w:val="0"/>
          <w:numId w:val="0"/>
        </w:numPr>
        <w:ind w:left="680"/>
      </w:pPr>
    </w:p>
    <w:p w:rsidR="00B26583" w:rsidRDefault="00B26583" w:rsidP="00B26583">
      <w:pPr>
        <w:pStyle w:val="3"/>
        <w:numPr>
          <w:ilvl w:val="2"/>
          <w:numId w:val="1"/>
        </w:numPr>
      </w:pPr>
      <w:r w:rsidRPr="00FA7B13">
        <w:rPr>
          <w:rFonts w:hint="eastAsia"/>
        </w:rPr>
        <w:t>鵬管處既為大鵬灣國家風景區之管理單位，自應依發展觀光條例規定，針對小琉球訂定適宜之經營管理計畫</w:t>
      </w:r>
      <w:r>
        <w:rPr>
          <w:rFonts w:hint="eastAsia"/>
        </w:rPr>
        <w:t>，</w:t>
      </w:r>
      <w:r w:rsidRPr="00DC2B05">
        <w:rPr>
          <w:rFonts w:hint="eastAsia"/>
        </w:rPr>
        <w:t>惟該處對於小琉球人流管制措施態度消極。</w:t>
      </w:r>
      <w:proofErr w:type="gramStart"/>
      <w:r w:rsidRPr="006C2389">
        <w:rPr>
          <w:rFonts w:hint="eastAsia"/>
        </w:rPr>
        <w:t>歷經海委會</w:t>
      </w:r>
      <w:proofErr w:type="gramEnd"/>
      <w:r w:rsidRPr="006C2389">
        <w:rPr>
          <w:rFonts w:hint="eastAsia"/>
        </w:rPr>
        <w:t>多次於建議及要求，鵬管處</w:t>
      </w:r>
      <w:r>
        <w:rPr>
          <w:rFonts w:hint="eastAsia"/>
        </w:rPr>
        <w:t>方</w:t>
      </w:r>
      <w:r w:rsidRPr="006C2389">
        <w:rPr>
          <w:rFonts w:hint="eastAsia"/>
        </w:rPr>
        <w:t>於113年</w:t>
      </w:r>
      <w:r>
        <w:rPr>
          <w:rFonts w:hint="eastAsia"/>
        </w:rPr>
        <w:t>，再次</w:t>
      </w:r>
      <w:r w:rsidRPr="006C2389">
        <w:rPr>
          <w:rFonts w:hint="eastAsia"/>
        </w:rPr>
        <w:t>辦理</w:t>
      </w:r>
      <w:r>
        <w:rPr>
          <w:rFonts w:hint="eastAsia"/>
        </w:rPr>
        <w:t>「</w:t>
      </w:r>
      <w:r w:rsidRPr="006C2389">
        <w:rPr>
          <w:rFonts w:hint="eastAsia"/>
        </w:rPr>
        <w:t>琉球風景特定區遊憩承載量綜合評估委託服務案</w:t>
      </w:r>
      <w:r>
        <w:rPr>
          <w:rFonts w:hint="eastAsia"/>
        </w:rPr>
        <w:t>」，</w:t>
      </w:r>
      <w:r w:rsidRPr="006C2389">
        <w:rPr>
          <w:rFonts w:hint="eastAsia"/>
        </w:rPr>
        <w:t>該案於113年3月7日完成議價決標</w:t>
      </w:r>
      <w:r>
        <w:rPr>
          <w:rFonts w:hint="eastAsia"/>
        </w:rPr>
        <w:t>，</w:t>
      </w:r>
      <w:r w:rsidRPr="006C2389">
        <w:rPr>
          <w:rFonts w:hint="eastAsia"/>
        </w:rPr>
        <w:t>同</w:t>
      </w:r>
      <w:r w:rsidRPr="00104963">
        <w:rPr>
          <w:rFonts w:hAnsi="標楷體" w:hint="eastAsia"/>
        </w:rPr>
        <w:t>年8月完成期中報告，預計於113年12月底完成期末報告。</w:t>
      </w:r>
      <w:proofErr w:type="gramStart"/>
      <w:r>
        <w:rPr>
          <w:rFonts w:hAnsi="標楷體" w:hint="eastAsia"/>
        </w:rPr>
        <w:t>據</w:t>
      </w:r>
      <w:r w:rsidRPr="00D212AD">
        <w:rPr>
          <w:rFonts w:hAnsi="標楷體" w:hint="eastAsia"/>
        </w:rPr>
        <w:t>鵬管</w:t>
      </w:r>
      <w:proofErr w:type="gramEnd"/>
      <w:r w:rsidRPr="00D212AD">
        <w:rPr>
          <w:rFonts w:hAnsi="標楷體" w:hint="eastAsia"/>
        </w:rPr>
        <w:t>處</w:t>
      </w:r>
      <w:r>
        <w:rPr>
          <w:rFonts w:hAnsi="標楷體" w:hint="eastAsia"/>
        </w:rPr>
        <w:t>稱：「</w:t>
      </w:r>
      <w:r w:rsidRPr="00D212AD">
        <w:rPr>
          <w:rFonts w:hAnsi="標楷體" w:hint="eastAsia"/>
        </w:rPr>
        <w:t>將於該委託服務案完成</w:t>
      </w:r>
      <w:r w:rsidRPr="006C2389">
        <w:rPr>
          <w:rFonts w:hint="eastAsia"/>
        </w:rPr>
        <w:t>遊憩承載量調查評估後，再擬訂經營管理計畫，進行生態承載量策略擬定並動態調整管理機制</w:t>
      </w:r>
      <w:r>
        <w:rPr>
          <w:rFonts w:hint="eastAsia"/>
        </w:rPr>
        <w:t>。」</w:t>
      </w:r>
      <w:r w:rsidRPr="006C2389">
        <w:rPr>
          <w:rFonts w:hint="eastAsia"/>
        </w:rPr>
        <w:t>小琉球島上水域活動發達，</w:t>
      </w:r>
      <w:r>
        <w:rPr>
          <w:rFonts w:hint="eastAsia"/>
        </w:rPr>
        <w:t>遊客集中特定濱海景點係該島遊憩現況，鵬管處漠視觀光人潮眾多衍生之生態警訊，亦</w:t>
      </w:r>
      <w:proofErr w:type="gramStart"/>
      <w:r>
        <w:rPr>
          <w:rFonts w:hint="eastAsia"/>
        </w:rPr>
        <w:t>對海委會</w:t>
      </w:r>
      <w:proofErr w:type="gramEnd"/>
      <w:r>
        <w:rPr>
          <w:rFonts w:hint="eastAsia"/>
        </w:rPr>
        <w:t>提出維護該島自然海域資源之建言置之不理，毫無建置</w:t>
      </w:r>
      <w:r w:rsidRPr="006C2389">
        <w:rPr>
          <w:rFonts w:hint="eastAsia"/>
        </w:rPr>
        <w:t>滾動調整小琉球</w:t>
      </w:r>
      <w:r>
        <w:rPr>
          <w:rFonts w:hint="eastAsia"/>
        </w:rPr>
        <w:t>人流</w:t>
      </w:r>
      <w:r w:rsidRPr="006C2389">
        <w:rPr>
          <w:rFonts w:hint="eastAsia"/>
        </w:rPr>
        <w:t>管理</w:t>
      </w:r>
      <w:r>
        <w:rPr>
          <w:rFonts w:hint="eastAsia"/>
        </w:rPr>
        <w:t>相關</w:t>
      </w:r>
      <w:r w:rsidRPr="006C2389">
        <w:rPr>
          <w:rFonts w:hint="eastAsia"/>
        </w:rPr>
        <w:t>措施，迨至113年3月，方重新辦理小琉球遊憩承載量評估委託服務之招標作業，且迄今仍未完成評估報告。鵬管處未依發展觀光條例第6條第2項規定，擬訂適切之經營管理計畫，肇致</w:t>
      </w:r>
      <w:r>
        <w:rPr>
          <w:rFonts w:hint="eastAsia"/>
        </w:rPr>
        <w:t>觀光人流</w:t>
      </w:r>
      <w:r w:rsidRPr="006C2389">
        <w:rPr>
          <w:rFonts w:hint="eastAsia"/>
        </w:rPr>
        <w:t>對小</w:t>
      </w:r>
      <w:r w:rsidRPr="006C2389">
        <w:rPr>
          <w:rFonts w:hint="eastAsia"/>
        </w:rPr>
        <w:lastRenderedPageBreak/>
        <w:t>琉球環境負擔影響</w:t>
      </w:r>
      <w:proofErr w:type="gramStart"/>
      <w:r w:rsidRPr="006C2389">
        <w:rPr>
          <w:rFonts w:hint="eastAsia"/>
        </w:rPr>
        <w:t>遽</w:t>
      </w:r>
      <w:proofErr w:type="gramEnd"/>
      <w:r w:rsidRPr="006C2389">
        <w:rPr>
          <w:rFonts w:hint="eastAsia"/>
        </w:rPr>
        <w:t>增，核有違失。</w:t>
      </w:r>
    </w:p>
    <w:p w:rsidR="00B26583" w:rsidRPr="00DC2B05" w:rsidRDefault="00B26583" w:rsidP="00B26583">
      <w:pPr>
        <w:pStyle w:val="3"/>
        <w:numPr>
          <w:ilvl w:val="2"/>
          <w:numId w:val="1"/>
        </w:numPr>
      </w:pPr>
      <w:r>
        <w:rPr>
          <w:rFonts w:hint="eastAsia"/>
        </w:rPr>
        <w:t>又，</w:t>
      </w:r>
      <w:proofErr w:type="gramStart"/>
      <w:r w:rsidRPr="009072EF">
        <w:rPr>
          <w:rFonts w:hAnsi="標楷體" w:hint="eastAsia"/>
        </w:rPr>
        <w:t>詢據鵬</w:t>
      </w:r>
      <w:proofErr w:type="gramEnd"/>
      <w:r w:rsidRPr="009072EF">
        <w:rPr>
          <w:rFonts w:hAnsi="標楷體" w:hint="eastAsia"/>
        </w:rPr>
        <w:t>管處表示，113年委託「世界休閒協會臺灣分會」之成員係由「中華民國戶外遊憩學會」會員組成</w:t>
      </w:r>
      <w:r>
        <w:rPr>
          <w:rFonts w:hAnsi="標楷體" w:hint="eastAsia"/>
        </w:rPr>
        <w:t>。然而，該分會代表於本院諮詢會議時</w:t>
      </w:r>
      <w:r>
        <w:rPr>
          <w:rFonts w:hint="eastAsia"/>
        </w:rPr>
        <w:t>表示：</w:t>
      </w:r>
      <w:r>
        <w:rPr>
          <w:rFonts w:hAnsi="標楷體" w:hint="eastAsia"/>
        </w:rPr>
        <w:t>「承</w:t>
      </w:r>
      <w:r w:rsidRPr="00EE0FEF">
        <w:rPr>
          <w:rFonts w:hAnsi="標楷體" w:hint="eastAsia"/>
        </w:rPr>
        <w:t>載量是一個管理機制，對於量</w:t>
      </w:r>
      <w:r>
        <w:rPr>
          <w:rFonts w:hAnsi="標楷體" w:hint="eastAsia"/>
        </w:rPr>
        <w:t>的估計</w:t>
      </w:r>
      <w:r w:rsidRPr="00EE0FEF">
        <w:rPr>
          <w:rFonts w:hAnsi="標楷體" w:hint="eastAsia"/>
        </w:rPr>
        <w:t>會有假設的概念，我抓了一個量</w:t>
      </w:r>
      <w:r>
        <w:rPr>
          <w:rFonts w:hAnsi="標楷體" w:hint="eastAsia"/>
        </w:rPr>
        <w:t>值</w:t>
      </w:r>
      <w:r w:rsidRPr="00EE0FEF">
        <w:rPr>
          <w:rFonts w:hAnsi="標楷體" w:hint="eastAsia"/>
        </w:rPr>
        <w:t>作為開發的模式</w:t>
      </w:r>
      <w:r>
        <w:rPr>
          <w:rFonts w:hAnsi="標楷體" w:hint="eastAsia"/>
        </w:rPr>
        <w:t>，首先</w:t>
      </w:r>
      <w:r w:rsidRPr="00EE0FEF">
        <w:rPr>
          <w:rFonts w:hAnsi="標楷體" w:hint="eastAsia"/>
        </w:rPr>
        <w:t>先做市場定位，再做營運計畫，最後做監測管理</w:t>
      </w:r>
      <w:r>
        <w:rPr>
          <w:rFonts w:hAnsi="標楷體" w:hint="eastAsia"/>
        </w:rPr>
        <w:t>……</w:t>
      </w:r>
      <w:r w:rsidRPr="00BC4F5B">
        <w:rPr>
          <w:rFonts w:hAnsi="標楷體" w:hint="eastAsia"/>
        </w:rPr>
        <w:t>遊客量抓1年1</w:t>
      </w:r>
      <w:r>
        <w:rPr>
          <w:rFonts w:hAnsi="標楷體" w:hint="eastAsia"/>
        </w:rPr>
        <w:t>00</w:t>
      </w:r>
      <w:r w:rsidRPr="00BC4F5B">
        <w:rPr>
          <w:rFonts w:hAnsi="標楷體" w:hint="eastAsia"/>
        </w:rPr>
        <w:t>萬左右，能帶來大約</w:t>
      </w:r>
      <w:r w:rsidR="00F219A7">
        <w:rPr>
          <w:rFonts w:hAnsi="標楷體" w:hint="eastAsia"/>
        </w:rPr>
        <w:t>新臺幣</w:t>
      </w:r>
      <w:r w:rsidRPr="00BC4F5B">
        <w:rPr>
          <w:rFonts w:hAnsi="標楷體" w:hint="eastAsia"/>
        </w:rPr>
        <w:t>20億</w:t>
      </w:r>
      <w:r w:rsidR="00F219A7">
        <w:rPr>
          <w:rFonts w:hAnsi="標楷體" w:hint="eastAsia"/>
        </w:rPr>
        <w:t>元</w:t>
      </w:r>
      <w:r w:rsidRPr="00BC4F5B">
        <w:rPr>
          <w:rFonts w:hAnsi="標楷體" w:hint="eastAsia"/>
        </w:rPr>
        <w:t>的生計</w:t>
      </w:r>
      <w:r>
        <w:rPr>
          <w:rFonts w:hAnsi="標楷體" w:hint="eastAsia"/>
        </w:rPr>
        <w:t>……</w:t>
      </w:r>
      <w:r w:rsidRPr="00BC4F5B">
        <w:rPr>
          <w:rFonts w:hAnsi="標楷體" w:hint="eastAsia"/>
        </w:rPr>
        <w:t>人流管制數量</w:t>
      </w:r>
      <w:r>
        <w:rPr>
          <w:rFonts w:hAnsi="標楷體" w:hint="eastAsia"/>
        </w:rPr>
        <w:t>1</w:t>
      </w:r>
      <w:r w:rsidRPr="00BC4F5B">
        <w:rPr>
          <w:rFonts w:hAnsi="標楷體" w:hint="eastAsia"/>
        </w:rPr>
        <w:t>天1萬</w:t>
      </w:r>
      <w:r>
        <w:rPr>
          <w:rFonts w:hAnsi="標楷體" w:hint="eastAsia"/>
        </w:rPr>
        <w:t>，</w:t>
      </w:r>
      <w:r w:rsidRPr="00BC4F5B">
        <w:rPr>
          <w:rFonts w:hAnsi="標楷體" w:hint="eastAsia"/>
        </w:rPr>
        <w:t>我們覺得是可以被接受的</w:t>
      </w:r>
      <w:r>
        <w:rPr>
          <w:rFonts w:hAnsi="標楷體" w:hint="eastAsia"/>
        </w:rPr>
        <w:t>，</w:t>
      </w:r>
      <w:r w:rsidRPr="00D42500">
        <w:rPr>
          <w:rFonts w:hAnsi="標楷體" w:hint="eastAsia"/>
        </w:rPr>
        <w:t>從一個都市計劃的承載量來說，(小琉球遊客數)是還沒有到</w:t>
      </w:r>
      <w:r>
        <w:rPr>
          <w:rFonts w:hAnsi="標楷體" w:hint="eastAsia"/>
        </w:rPr>
        <w:t>……</w:t>
      </w:r>
      <w:r w:rsidRPr="00DC2B05">
        <w:rPr>
          <w:rFonts w:hAnsi="標楷體" w:hint="eastAsia"/>
        </w:rPr>
        <w:t>。</w:t>
      </w:r>
      <w:r>
        <w:rPr>
          <w:rFonts w:hAnsi="標楷體" w:hint="eastAsia"/>
        </w:rPr>
        <w:t>」由此可見，鵬管處113年委託之承載量評估，仍以觀光發展為依歸，對於海洋生態</w:t>
      </w:r>
      <w:proofErr w:type="gramStart"/>
      <w:r>
        <w:rPr>
          <w:rFonts w:hAnsi="標楷體" w:hint="eastAsia"/>
        </w:rPr>
        <w:t>保育恐</w:t>
      </w:r>
      <w:proofErr w:type="gramEnd"/>
      <w:r>
        <w:rPr>
          <w:rFonts w:hAnsi="標楷體" w:hint="eastAsia"/>
        </w:rPr>
        <w:t>難有實質裨益。</w:t>
      </w:r>
    </w:p>
    <w:p w:rsidR="00B26583" w:rsidRPr="00806DE6" w:rsidRDefault="00B26583" w:rsidP="00B26583">
      <w:pPr>
        <w:pStyle w:val="3"/>
        <w:numPr>
          <w:ilvl w:val="2"/>
          <w:numId w:val="1"/>
        </w:numPr>
      </w:pPr>
      <w:proofErr w:type="gramStart"/>
      <w:r w:rsidRPr="00972585">
        <w:rPr>
          <w:rFonts w:hint="eastAsia"/>
        </w:rPr>
        <w:t>此外，</w:t>
      </w:r>
      <w:proofErr w:type="gramEnd"/>
      <w:r w:rsidRPr="00972585">
        <w:rPr>
          <w:rFonts w:hint="eastAsia"/>
        </w:rPr>
        <w:t>小琉球102至112年各年度遊客登島觀光人數呈逐年增長趨勢，108年登島人數達到高峰為145萬餘人，其後人數雖因COVID-19</w:t>
      </w:r>
      <w:proofErr w:type="gramStart"/>
      <w:r w:rsidRPr="00972585">
        <w:rPr>
          <w:rFonts w:hint="eastAsia"/>
        </w:rPr>
        <w:t>疫情</w:t>
      </w:r>
      <w:proofErr w:type="gramEnd"/>
      <w:r w:rsidRPr="00972585">
        <w:rPr>
          <w:rFonts w:hint="eastAsia"/>
        </w:rPr>
        <w:t>有下降趨勢，惟102至112年期間每年均高於100萬人以上。登島遊客眾多確實造成小琉球環境</w:t>
      </w:r>
      <w:r>
        <w:rPr>
          <w:rFonts w:hint="eastAsia"/>
        </w:rPr>
        <w:t>承</w:t>
      </w:r>
      <w:r w:rsidRPr="00972585">
        <w:rPr>
          <w:rFonts w:hint="eastAsia"/>
        </w:rPr>
        <w:t>載的沉重負擔，為維護該島環境生態，管制登島人數或勢在必行。然對此交通部表示略</w:t>
      </w:r>
      <w:proofErr w:type="gramStart"/>
      <w:r w:rsidRPr="00972585">
        <w:rPr>
          <w:rFonts w:hint="eastAsia"/>
        </w:rPr>
        <w:t>以</w:t>
      </w:r>
      <w:proofErr w:type="gramEnd"/>
      <w:r w:rsidRPr="00972585">
        <w:rPr>
          <w:rFonts w:hint="eastAsia"/>
        </w:rPr>
        <w:t>，依現行</w:t>
      </w:r>
      <w:r>
        <w:rPr>
          <w:rFonts w:hint="eastAsia"/>
        </w:rPr>
        <w:t>航</w:t>
      </w:r>
      <w:r w:rsidRPr="00972585">
        <w:rPr>
          <w:rFonts w:hint="eastAsia"/>
        </w:rPr>
        <w:t>業法</w:t>
      </w:r>
      <w:r>
        <w:rPr>
          <w:rFonts w:hint="eastAsia"/>
        </w:rPr>
        <w:t>規定</w:t>
      </w:r>
      <w:r w:rsidRPr="00972585">
        <w:rPr>
          <w:rStyle w:val="afe"/>
        </w:rPr>
        <w:footnoteReference w:id="7"/>
      </w:r>
      <w:r w:rsidRPr="00972585">
        <w:rPr>
          <w:rFonts w:hint="eastAsia"/>
        </w:rPr>
        <w:t>，僅規範經營固定航線非有正當理由不得減班或停航，並未限制加班航班，故目前小琉球往返之船班次並無上限規定。經查，113年8月小琉球交通船每日往返船班共計74班次，相較同年4月份每日60班次增加14班(詳下表)，且假日如人潮</w:t>
      </w:r>
      <w:proofErr w:type="gramStart"/>
      <w:r w:rsidRPr="00972585">
        <w:rPr>
          <w:rFonts w:hint="eastAsia"/>
        </w:rPr>
        <w:t>眾多，</w:t>
      </w:r>
      <w:proofErr w:type="gramEnd"/>
      <w:r w:rsidRPr="00972585">
        <w:rPr>
          <w:rFonts w:hint="eastAsia"/>
        </w:rPr>
        <w:t>船公司又將視人潮數量機動加班，全無上限。雖交通客船服務當地民</w:t>
      </w:r>
      <w:r w:rsidRPr="00972585">
        <w:rPr>
          <w:rFonts w:hint="eastAsia"/>
        </w:rPr>
        <w:lastRenderedPageBreak/>
        <w:t>眾往返臺灣本島、過年返鄉、探視親友或參加在地傳統宗教慶典等活動，係為保障離島偏鄉「行」的權利，</w:t>
      </w:r>
      <w:proofErr w:type="gramStart"/>
      <w:r w:rsidRPr="00972585">
        <w:rPr>
          <w:rFonts w:hint="eastAsia"/>
        </w:rPr>
        <w:t>然小琉球</w:t>
      </w:r>
      <w:proofErr w:type="gramEnd"/>
      <w:r w:rsidRPr="00972585">
        <w:rPr>
          <w:rFonts w:hint="eastAsia"/>
        </w:rPr>
        <w:t>每年登島遊客</w:t>
      </w:r>
      <w:proofErr w:type="gramStart"/>
      <w:r w:rsidRPr="00972585">
        <w:rPr>
          <w:rFonts w:hint="eastAsia"/>
        </w:rPr>
        <w:t>眾多</w:t>
      </w:r>
      <w:proofErr w:type="gramEnd"/>
      <w:r w:rsidRPr="00972585">
        <w:rPr>
          <w:rFonts w:hint="eastAsia"/>
        </w:rPr>
        <w:t>，且連</w:t>
      </w:r>
      <w:proofErr w:type="gramStart"/>
      <w:r w:rsidRPr="00972585">
        <w:rPr>
          <w:rFonts w:hint="eastAsia"/>
        </w:rPr>
        <w:t>假期間更面</w:t>
      </w:r>
      <w:proofErr w:type="gramEnd"/>
      <w:r w:rsidRPr="00972585">
        <w:rPr>
          <w:rFonts w:hint="eastAsia"/>
        </w:rPr>
        <w:t>臨較嚴苛的人數管控問題，觀光署對於登島之眾多遊客毫無限制及約束手段，亦無法提出有效之人流管制之替代方案，</w:t>
      </w:r>
      <w:proofErr w:type="gramStart"/>
      <w:r>
        <w:rPr>
          <w:rFonts w:hint="eastAsia"/>
        </w:rPr>
        <w:t>致</w:t>
      </w:r>
      <w:r w:rsidRPr="00972585">
        <w:rPr>
          <w:rFonts w:hint="eastAsia"/>
        </w:rPr>
        <w:t>小琉</w:t>
      </w:r>
      <w:proofErr w:type="gramEnd"/>
      <w:r w:rsidRPr="00972585">
        <w:rPr>
          <w:rFonts w:hint="eastAsia"/>
        </w:rPr>
        <w:t>球海洋生態環境問題</w:t>
      </w:r>
      <w:r>
        <w:rPr>
          <w:rFonts w:hint="eastAsia"/>
        </w:rPr>
        <w:t>叢生。</w:t>
      </w:r>
      <w:proofErr w:type="gramStart"/>
      <w:r w:rsidRPr="00972585">
        <w:rPr>
          <w:rFonts w:hint="eastAsia"/>
        </w:rPr>
        <w:t>海委會</w:t>
      </w:r>
      <w:proofErr w:type="gramEnd"/>
      <w:r w:rsidRPr="00972585">
        <w:rPr>
          <w:rFonts w:hint="eastAsia"/>
        </w:rPr>
        <w:t>於本院詢問時更指稱：「觀光機關</w:t>
      </w:r>
      <w:proofErr w:type="gramStart"/>
      <w:r w:rsidRPr="00972585">
        <w:rPr>
          <w:rFonts w:hint="eastAsia"/>
        </w:rPr>
        <w:t>不能說把遊客</w:t>
      </w:r>
      <w:proofErr w:type="gramEnd"/>
      <w:r w:rsidRPr="00972585">
        <w:rPr>
          <w:rFonts w:hint="eastAsia"/>
        </w:rPr>
        <w:t>都通通引到小琉球，然後要求海洋保育法、漁業法的規範來去管理、限制這些遊客的行為</w:t>
      </w:r>
      <w:r>
        <w:rPr>
          <w:rFonts w:hint="eastAsia"/>
        </w:rPr>
        <w:t>……</w:t>
      </w:r>
      <w:r w:rsidRPr="00972585">
        <w:rPr>
          <w:rFonts w:hint="eastAsia"/>
        </w:rPr>
        <w:t>回到登島總人數，我們海洋保育法做不到，只有發展觀光條例才可以做到。」據上可知，</w:t>
      </w:r>
      <w:proofErr w:type="gramStart"/>
      <w:r>
        <w:rPr>
          <w:rFonts w:hint="eastAsia"/>
        </w:rPr>
        <w:t>觀光署</w:t>
      </w:r>
      <w:r w:rsidRPr="00972585">
        <w:rPr>
          <w:rFonts w:hint="eastAsia"/>
        </w:rPr>
        <w:t>任令</w:t>
      </w:r>
      <w:proofErr w:type="gramEnd"/>
      <w:r w:rsidRPr="00972585">
        <w:rPr>
          <w:rFonts w:hint="eastAsia"/>
        </w:rPr>
        <w:t>眾多遊客登島旅遊，肇致對小琉球環境負擔影響遽</w:t>
      </w:r>
      <w:r w:rsidRPr="00DE2EBB">
        <w:rPr>
          <w:rFonts w:hint="eastAsia"/>
        </w:rPr>
        <w:t>增，容有未當。</w:t>
      </w:r>
    </w:p>
    <w:p w:rsidR="00B26583" w:rsidRPr="00015CC8" w:rsidRDefault="00B26583" w:rsidP="00B26583">
      <w:pPr>
        <w:pStyle w:val="a4"/>
        <w:ind w:left="480" w:hanging="480"/>
        <w:jc w:val="center"/>
      </w:pPr>
      <w:r w:rsidRPr="00015CC8">
        <w:rPr>
          <w:rFonts w:hint="eastAsia"/>
        </w:rPr>
        <w:t>小琉球往返客船一覽表</w:t>
      </w:r>
    </w:p>
    <w:tbl>
      <w:tblPr>
        <w:tblStyle w:val="af8"/>
        <w:tblW w:w="8755" w:type="dxa"/>
        <w:tblLook w:val="04A0" w:firstRow="1" w:lastRow="0" w:firstColumn="1" w:lastColumn="0" w:noHBand="0" w:noVBand="1"/>
      </w:tblPr>
      <w:tblGrid>
        <w:gridCol w:w="1838"/>
        <w:gridCol w:w="2381"/>
        <w:gridCol w:w="2268"/>
        <w:gridCol w:w="2268"/>
      </w:tblGrid>
      <w:tr w:rsidR="00B26583" w:rsidRPr="00015CC8" w:rsidTr="00873E26">
        <w:trPr>
          <w:trHeight w:val="198"/>
        </w:trPr>
        <w:tc>
          <w:tcPr>
            <w:tcW w:w="1838" w:type="dxa"/>
            <w:shd w:val="clear" w:color="auto" w:fill="EAF1DD" w:themeFill="accent3" w:themeFillTint="33"/>
            <w:vAlign w:val="center"/>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名稱</w:t>
            </w:r>
          </w:p>
        </w:tc>
        <w:tc>
          <w:tcPr>
            <w:tcW w:w="2381" w:type="dxa"/>
            <w:shd w:val="clear" w:color="auto" w:fill="EAF1DD" w:themeFill="accent3" w:themeFillTint="33"/>
            <w:vAlign w:val="center"/>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航線</w:t>
            </w:r>
          </w:p>
        </w:tc>
        <w:tc>
          <w:tcPr>
            <w:tcW w:w="2268" w:type="dxa"/>
            <w:shd w:val="clear" w:color="auto" w:fill="EAF1DD" w:themeFill="accent3" w:themeFillTint="33"/>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航班(113年4月)</w:t>
            </w:r>
          </w:p>
        </w:tc>
        <w:tc>
          <w:tcPr>
            <w:tcW w:w="2268" w:type="dxa"/>
            <w:shd w:val="clear" w:color="auto" w:fill="EAF1DD" w:themeFill="accent3" w:themeFillTint="33"/>
            <w:vAlign w:val="center"/>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航班(113年8月)</w:t>
            </w:r>
          </w:p>
        </w:tc>
      </w:tr>
      <w:tr w:rsidR="00B26583" w:rsidRPr="00015CC8" w:rsidTr="00873E26">
        <w:trPr>
          <w:trHeight w:val="603"/>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w:t>
            </w:r>
            <w:proofErr w:type="gramStart"/>
            <w:r w:rsidRPr="00015CC8">
              <w:rPr>
                <w:rFonts w:hint="eastAsia"/>
                <w:spacing w:val="-20"/>
                <w:sz w:val="28"/>
              </w:rPr>
              <w:t>琉</w:t>
            </w:r>
            <w:proofErr w:type="gramEnd"/>
            <w:r w:rsidRPr="00015CC8">
              <w:rPr>
                <w:rFonts w:hint="eastAsia"/>
                <w:spacing w:val="-20"/>
                <w:sz w:val="28"/>
              </w:rPr>
              <w:t>聯營線</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東港碼頭至白沙觀光港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每天往返定期航班共計16班次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每天往返定期航班共計20班次</w:t>
            </w:r>
          </w:p>
        </w:tc>
      </w:tr>
      <w:tr w:rsidR="00B26583" w:rsidRPr="00015CC8" w:rsidTr="00873E26">
        <w:trPr>
          <w:trHeight w:val="594"/>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泰富輪船公司</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東港碼頭至白沙觀光港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每天往返定期航班共計14班次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每天往返定期航班共計16班次</w:t>
            </w:r>
          </w:p>
        </w:tc>
      </w:tr>
      <w:tr w:rsidR="00B26583" w:rsidRPr="00015CC8" w:rsidTr="00873E26">
        <w:trPr>
          <w:trHeight w:val="603"/>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藍白輪船公司</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東港碼頭至白沙觀光港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每天往返定期航班共計14班次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每天往返定期航班共計16班次</w:t>
            </w:r>
          </w:p>
        </w:tc>
      </w:tr>
      <w:tr w:rsidR="00B26583" w:rsidRPr="00015CC8" w:rsidTr="00873E26">
        <w:trPr>
          <w:trHeight w:val="603"/>
        </w:trPr>
        <w:tc>
          <w:tcPr>
            <w:tcW w:w="1838" w:type="dxa"/>
            <w:vAlign w:val="center"/>
          </w:tcPr>
          <w:p w:rsidR="00B26583" w:rsidRPr="00015CC8" w:rsidRDefault="00B26583" w:rsidP="00873E26">
            <w:pPr>
              <w:pStyle w:val="3"/>
              <w:numPr>
                <w:ilvl w:val="0"/>
                <w:numId w:val="0"/>
              </w:numPr>
              <w:spacing w:line="320" w:lineRule="exact"/>
              <w:rPr>
                <w:spacing w:val="-20"/>
                <w:sz w:val="28"/>
              </w:rPr>
            </w:pPr>
            <w:proofErr w:type="gramStart"/>
            <w:r w:rsidRPr="00015CC8">
              <w:rPr>
                <w:rFonts w:hint="eastAsia"/>
                <w:spacing w:val="-20"/>
                <w:sz w:val="28"/>
              </w:rPr>
              <w:t>公船</w:t>
            </w:r>
            <w:proofErr w:type="gramEnd"/>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東港碼頭至琉球大福漁港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每天往返定期航班共計4班次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每天往返定期航班共計8班次</w:t>
            </w:r>
          </w:p>
        </w:tc>
      </w:tr>
      <w:tr w:rsidR="00B26583" w:rsidRPr="00015CC8" w:rsidTr="00873E26">
        <w:trPr>
          <w:trHeight w:val="594"/>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大福航運</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鹽</w:t>
            </w:r>
            <w:proofErr w:type="gramStart"/>
            <w:r w:rsidRPr="00015CC8">
              <w:rPr>
                <w:rFonts w:hint="eastAsia"/>
                <w:spacing w:val="-20"/>
                <w:sz w:val="28"/>
              </w:rPr>
              <w:t>埔</w:t>
            </w:r>
            <w:proofErr w:type="gramEnd"/>
            <w:r w:rsidRPr="00015CC8">
              <w:rPr>
                <w:rFonts w:hint="eastAsia"/>
                <w:spacing w:val="-20"/>
                <w:sz w:val="28"/>
              </w:rPr>
              <w:t>漁港碼頭至琉球大福漁港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每天往返定期航班共計12班次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每天往返定期航班共計12班次</w:t>
            </w:r>
          </w:p>
        </w:tc>
      </w:tr>
      <w:tr w:rsidR="00B26583" w:rsidRPr="00015CC8" w:rsidTr="00873E26">
        <w:trPr>
          <w:trHeight w:val="594"/>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w:t>
            </w:r>
            <w:proofErr w:type="gramStart"/>
            <w:r w:rsidRPr="00015CC8">
              <w:rPr>
                <w:rFonts w:hint="eastAsia"/>
                <w:spacing w:val="-20"/>
                <w:sz w:val="28"/>
              </w:rPr>
              <w:t>琉</w:t>
            </w:r>
            <w:proofErr w:type="gramEnd"/>
            <w:r w:rsidRPr="00015CC8">
              <w:rPr>
                <w:rFonts w:hint="eastAsia"/>
                <w:spacing w:val="-20"/>
                <w:sz w:val="28"/>
              </w:rPr>
              <w:t>聯營線</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鹽</w:t>
            </w:r>
            <w:proofErr w:type="gramStart"/>
            <w:r w:rsidRPr="00015CC8">
              <w:rPr>
                <w:rFonts w:hint="eastAsia"/>
                <w:spacing w:val="-20"/>
                <w:sz w:val="28"/>
              </w:rPr>
              <w:t>埔</w:t>
            </w:r>
            <w:proofErr w:type="gramEnd"/>
            <w:r w:rsidRPr="00015CC8">
              <w:rPr>
                <w:rFonts w:hint="eastAsia"/>
                <w:spacing w:val="-20"/>
                <w:sz w:val="28"/>
              </w:rPr>
              <w:t>漁港碼頭至琉球大福漁港</w:t>
            </w:r>
          </w:p>
        </w:tc>
        <w:tc>
          <w:tcPr>
            <w:tcW w:w="2268" w:type="dxa"/>
            <w:vAlign w:val="center"/>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每天往返定期航班共計2班次</w:t>
            </w:r>
          </w:p>
        </w:tc>
      </w:tr>
      <w:tr w:rsidR="00B26583" w:rsidRPr="00015CC8" w:rsidTr="00873E26">
        <w:trPr>
          <w:trHeight w:val="594"/>
        </w:trPr>
        <w:tc>
          <w:tcPr>
            <w:tcW w:w="4219" w:type="dxa"/>
            <w:gridSpan w:val="2"/>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總計</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每天往返定期航班共計60班次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每天往返定期航班共計74班次</w:t>
            </w:r>
          </w:p>
        </w:tc>
      </w:tr>
    </w:tbl>
    <w:p w:rsidR="00B26583" w:rsidRPr="00015CC8" w:rsidRDefault="00B26583" w:rsidP="00B26583">
      <w:pPr>
        <w:pStyle w:val="3"/>
        <w:numPr>
          <w:ilvl w:val="0"/>
          <w:numId w:val="0"/>
        </w:numPr>
        <w:spacing w:line="320" w:lineRule="exact"/>
        <w:ind w:rightChars="-67" w:right="-228"/>
        <w:rPr>
          <w:sz w:val="24"/>
        </w:rPr>
      </w:pPr>
      <w:r w:rsidRPr="00015CC8">
        <w:rPr>
          <w:rFonts w:hint="eastAsia"/>
          <w:sz w:val="24"/>
        </w:rPr>
        <w:t>備註：鹽</w:t>
      </w:r>
      <w:proofErr w:type="gramStart"/>
      <w:r w:rsidRPr="00015CC8">
        <w:rPr>
          <w:rFonts w:hint="eastAsia"/>
          <w:sz w:val="24"/>
        </w:rPr>
        <w:t>琉</w:t>
      </w:r>
      <w:proofErr w:type="gramEnd"/>
      <w:r w:rsidRPr="00015CC8">
        <w:rPr>
          <w:rFonts w:hint="eastAsia"/>
          <w:sz w:val="24"/>
        </w:rPr>
        <w:t>航線於107年開航，屏東縣政府興建鹽琉線船運服務中心於113年啟用。</w:t>
      </w:r>
    </w:p>
    <w:p w:rsidR="00B26583" w:rsidRDefault="00B26583" w:rsidP="00B26583">
      <w:pPr>
        <w:pStyle w:val="3"/>
        <w:numPr>
          <w:ilvl w:val="0"/>
          <w:numId w:val="0"/>
        </w:numPr>
        <w:spacing w:line="320" w:lineRule="exact"/>
        <w:ind w:left="1301" w:hangingChars="500" w:hanging="1301"/>
        <w:rPr>
          <w:sz w:val="24"/>
        </w:rPr>
      </w:pPr>
      <w:r w:rsidRPr="00015CC8">
        <w:rPr>
          <w:rFonts w:hint="eastAsia"/>
          <w:sz w:val="24"/>
        </w:rPr>
        <w:t>資料來源：113年4月航班資料係交通部提供，113年8月航班資料係屏東縣政府提供。</w:t>
      </w:r>
    </w:p>
    <w:p w:rsidR="00B26583" w:rsidRPr="00993098" w:rsidRDefault="00B26583" w:rsidP="00B26583">
      <w:pPr>
        <w:pStyle w:val="3"/>
        <w:numPr>
          <w:ilvl w:val="0"/>
          <w:numId w:val="0"/>
        </w:numPr>
        <w:spacing w:line="320" w:lineRule="exact"/>
        <w:rPr>
          <w:color w:val="7030A0"/>
          <w:sz w:val="24"/>
        </w:rPr>
      </w:pPr>
    </w:p>
    <w:p w:rsidR="00423342" w:rsidRPr="00A11636" w:rsidRDefault="00B26583" w:rsidP="00B26583">
      <w:pPr>
        <w:pStyle w:val="3"/>
      </w:pPr>
      <w:r>
        <w:rPr>
          <w:rFonts w:hint="eastAsia"/>
        </w:rPr>
        <w:t>綜上，</w:t>
      </w:r>
      <w:r w:rsidRPr="00972585">
        <w:rPr>
          <w:rFonts w:hint="eastAsia"/>
        </w:rPr>
        <w:t>近年小琉球遊客不斷湧入，已引發沿海珊瑚礁海域生態失衡現象。小琉球遊客以從事水上活動</w:t>
      </w:r>
      <w:r w:rsidRPr="00972585">
        <w:rPr>
          <w:rFonts w:hint="eastAsia"/>
        </w:rPr>
        <w:lastRenderedPageBreak/>
        <w:t>為主，水上遊憩活動對於珊瑚礁生態系負面影響甚</w:t>
      </w:r>
      <w:proofErr w:type="gramStart"/>
      <w:r w:rsidRPr="00972585">
        <w:rPr>
          <w:rFonts w:hint="eastAsia"/>
        </w:rPr>
        <w:t>鉅</w:t>
      </w:r>
      <w:proofErr w:type="gramEnd"/>
      <w:r w:rsidRPr="00972585">
        <w:rPr>
          <w:rFonts w:hint="eastAsia"/>
        </w:rPr>
        <w:t>，</w:t>
      </w:r>
      <w:proofErr w:type="gramStart"/>
      <w:r w:rsidRPr="00972585">
        <w:rPr>
          <w:rFonts w:hint="eastAsia"/>
        </w:rPr>
        <w:t>訂定適</w:t>
      </w:r>
      <w:proofErr w:type="gramEnd"/>
      <w:r w:rsidRPr="00972585">
        <w:rPr>
          <w:rFonts w:hint="eastAsia"/>
        </w:rPr>
        <w:t>切之遊客閾值上限，對小琉球永續發展與經營至關重要</w:t>
      </w:r>
      <w:r>
        <w:rPr>
          <w:rFonts w:hint="eastAsia"/>
        </w:rPr>
        <w:t>。</w:t>
      </w:r>
      <w:r w:rsidRPr="00972585">
        <w:rPr>
          <w:rFonts w:hint="eastAsia"/>
        </w:rPr>
        <w:t>鵬管處雖曾於107年進行小琉球環境</w:t>
      </w:r>
      <w:r>
        <w:rPr>
          <w:rFonts w:hint="eastAsia"/>
        </w:rPr>
        <w:t>承</w:t>
      </w:r>
      <w:r w:rsidRPr="00972585">
        <w:rPr>
          <w:rFonts w:hint="eastAsia"/>
        </w:rPr>
        <w:t>載量評估調查，惟該調查僅著重觀光旅遊發展，並未考量小琉球海洋生態等環境因素</w:t>
      </w:r>
      <w:r>
        <w:rPr>
          <w:rFonts w:hint="eastAsia"/>
        </w:rPr>
        <w:t>；</w:t>
      </w:r>
      <w:proofErr w:type="gramStart"/>
      <w:r w:rsidRPr="00972585">
        <w:rPr>
          <w:rFonts w:hint="eastAsia"/>
        </w:rPr>
        <w:t>而海委會</w:t>
      </w:r>
      <w:proofErr w:type="gramEnd"/>
      <w:r w:rsidRPr="00972585">
        <w:rPr>
          <w:rFonts w:hint="eastAsia"/>
        </w:rPr>
        <w:t>自111年起多次建議鵬管處依發展觀光條例規定重新針對該島遊客人數上限做適度評估及調整，</w:t>
      </w:r>
      <w:proofErr w:type="gramStart"/>
      <w:r w:rsidRPr="00972585">
        <w:rPr>
          <w:rFonts w:hint="eastAsia"/>
        </w:rPr>
        <w:t>然鵬管處遲未</w:t>
      </w:r>
      <w:proofErr w:type="gramEnd"/>
      <w:r w:rsidRPr="00972585">
        <w:rPr>
          <w:rFonts w:hint="eastAsia"/>
        </w:rPr>
        <w:t>研議處理，迨至113年3月方重新辦理小琉球遊憩承載量評估委託服務之招標作業，且迄今仍未完成兼顧觀光發展及生態保育之遊憩承載量評估調查，致無法擬定經營管理計畫。鵬管處長期消極不作為，</w:t>
      </w:r>
      <w:r>
        <w:rPr>
          <w:rFonts w:hint="eastAsia"/>
        </w:rPr>
        <w:t>對於</w:t>
      </w:r>
      <w:r w:rsidRPr="00972585">
        <w:rPr>
          <w:rFonts w:hint="eastAsia"/>
        </w:rPr>
        <w:t>大量觀光客源源不斷赴小琉球旅遊完全束手無策，既無法限制</w:t>
      </w:r>
      <w:proofErr w:type="gramStart"/>
      <w:r w:rsidRPr="00972585">
        <w:rPr>
          <w:rFonts w:hint="eastAsia"/>
        </w:rPr>
        <w:t>交通船航班</w:t>
      </w:r>
      <w:proofErr w:type="gramEnd"/>
      <w:r w:rsidRPr="00972585">
        <w:rPr>
          <w:rFonts w:hint="eastAsia"/>
        </w:rPr>
        <w:t>班次及限制遊客登島人數，復無法提出人流管制替代方案，自有怠失，觀光</w:t>
      </w:r>
      <w:proofErr w:type="gramStart"/>
      <w:r w:rsidRPr="00972585">
        <w:rPr>
          <w:rFonts w:hint="eastAsia"/>
        </w:rPr>
        <w:t>署作為鵬</w:t>
      </w:r>
      <w:proofErr w:type="gramEnd"/>
      <w:r w:rsidRPr="00972585">
        <w:rPr>
          <w:rFonts w:hint="eastAsia"/>
        </w:rPr>
        <w:t>管處上級機關，亦難辭監督不力之咎。</w:t>
      </w:r>
    </w:p>
    <w:p w:rsidR="000A0924" w:rsidRPr="00A11636" w:rsidRDefault="000A0924" w:rsidP="00423342">
      <w:pPr>
        <w:pStyle w:val="3"/>
        <w:numPr>
          <w:ilvl w:val="0"/>
          <w:numId w:val="0"/>
        </w:numPr>
        <w:ind w:left="1361"/>
        <w:rPr>
          <w:rFonts w:ascii="Times New Roman" w:hAnsi="Times New Roman"/>
        </w:rPr>
      </w:pPr>
    </w:p>
    <w:p w:rsidR="00286B1B" w:rsidRPr="00A11636" w:rsidRDefault="00E25849" w:rsidP="00057405">
      <w:pPr>
        <w:pStyle w:val="3"/>
        <w:numPr>
          <w:ilvl w:val="0"/>
          <w:numId w:val="0"/>
        </w:numPr>
        <w:ind w:left="1361" w:firstLineChars="225" w:firstLine="765"/>
        <w:rPr>
          <w:rFonts w:ascii="Times New Roman" w:hAnsi="Times New Roman"/>
        </w:rPr>
      </w:pPr>
      <w:r w:rsidRPr="00A11636">
        <w:rPr>
          <w:rFonts w:ascii="Times New Roman" w:hAnsi="Times New Roman"/>
        </w:rPr>
        <w:br w:type="page"/>
      </w:r>
      <w:bookmarkStart w:id="58" w:name="_Toc524902730"/>
      <w:bookmarkEnd w:id="43"/>
      <w:bookmarkEnd w:id="44"/>
      <w:bookmarkEnd w:id="45"/>
      <w:bookmarkEnd w:id="46"/>
      <w:bookmarkEnd w:id="47"/>
      <w:bookmarkEnd w:id="48"/>
      <w:bookmarkEnd w:id="49"/>
      <w:bookmarkEnd w:id="50"/>
      <w:bookmarkEnd w:id="51"/>
      <w:bookmarkEnd w:id="52"/>
      <w:r w:rsidR="000512D1" w:rsidRPr="00A11636">
        <w:rPr>
          <w:rFonts w:ascii="Times New Roman" w:hAnsi="Times New Roman"/>
        </w:rPr>
        <w:lastRenderedPageBreak/>
        <w:t>綜上所述，</w:t>
      </w:r>
      <w:proofErr w:type="gramStart"/>
      <w:r w:rsidR="00B26583" w:rsidRPr="00B26583">
        <w:rPr>
          <w:rFonts w:ascii="Times New Roman" w:hAnsi="Times New Roman" w:hint="eastAsia"/>
        </w:rPr>
        <w:t>海委會</w:t>
      </w:r>
      <w:proofErr w:type="gramEnd"/>
      <w:r w:rsidR="00B26583" w:rsidRPr="00B26583">
        <w:rPr>
          <w:rFonts w:ascii="Times New Roman" w:hAnsi="Times New Roman" w:hint="eastAsia"/>
        </w:rPr>
        <w:t>長期以來</w:t>
      </w:r>
      <w:proofErr w:type="gramStart"/>
      <w:r w:rsidR="00B26583" w:rsidRPr="00B26583">
        <w:rPr>
          <w:rFonts w:ascii="Times New Roman" w:hAnsi="Times New Roman" w:hint="eastAsia"/>
        </w:rPr>
        <w:t>既知小琉</w:t>
      </w:r>
      <w:proofErr w:type="gramEnd"/>
      <w:r w:rsidR="00B26583" w:rsidRPr="00B26583">
        <w:rPr>
          <w:rFonts w:ascii="Times New Roman" w:hAnsi="Times New Roman" w:hint="eastAsia"/>
        </w:rPr>
        <w:t>球環境承載量評估與海域生態息息相關，自可主動進行評估調查，以保護小琉球自然生態資源，避免海洋生態受到衝擊，惟該會未積極為之，反寄託於觀光主管機關所為之調查作為，任令小琉球周遭海域海洋生態及生物多樣性趨於惡化、劣化；</w:t>
      </w:r>
      <w:proofErr w:type="gramStart"/>
      <w:r w:rsidR="00B26583" w:rsidRPr="00B26583">
        <w:rPr>
          <w:rFonts w:ascii="Times New Roman" w:hAnsi="Times New Roman" w:hint="eastAsia"/>
        </w:rPr>
        <w:t>且海委會</w:t>
      </w:r>
      <w:proofErr w:type="gramEnd"/>
      <w:r w:rsidR="00B26583" w:rsidRPr="00B26583">
        <w:rPr>
          <w:rFonts w:ascii="Times New Roman" w:hAnsi="Times New Roman" w:hint="eastAsia"/>
        </w:rPr>
        <w:t>自成立以來，</w:t>
      </w:r>
      <w:proofErr w:type="gramStart"/>
      <w:r w:rsidR="00B26583" w:rsidRPr="00B26583">
        <w:rPr>
          <w:rFonts w:ascii="Times New Roman" w:hAnsi="Times New Roman" w:hint="eastAsia"/>
        </w:rPr>
        <w:t>均未積</w:t>
      </w:r>
      <w:proofErr w:type="gramEnd"/>
      <w:r w:rsidR="00B26583" w:rsidRPr="00B26583">
        <w:rPr>
          <w:rFonts w:ascii="Times New Roman" w:hAnsi="Times New Roman" w:hint="eastAsia"/>
        </w:rPr>
        <w:t>極掌握小琉球珊瑚礁生態系統變化情形，加以</w:t>
      </w:r>
      <w:proofErr w:type="gramStart"/>
      <w:r w:rsidR="00B26583" w:rsidRPr="00B26583">
        <w:rPr>
          <w:rFonts w:ascii="Times New Roman" w:hAnsi="Times New Roman" w:hint="eastAsia"/>
        </w:rPr>
        <w:t>研訂</w:t>
      </w:r>
      <w:proofErr w:type="gramEnd"/>
      <w:r w:rsidR="00B26583" w:rsidRPr="00B26583">
        <w:rPr>
          <w:rFonts w:ascii="Times New Roman" w:hAnsi="Times New Roman" w:hint="eastAsia"/>
        </w:rPr>
        <w:t>適切保育措施，遲至</w:t>
      </w:r>
      <w:r w:rsidR="00B26583" w:rsidRPr="00B26583">
        <w:rPr>
          <w:rFonts w:ascii="Times New Roman" w:hAnsi="Times New Roman" w:hint="eastAsia"/>
        </w:rPr>
        <w:t>110</w:t>
      </w:r>
      <w:r w:rsidR="00B26583" w:rsidRPr="00B26583">
        <w:rPr>
          <w:rFonts w:ascii="Times New Roman" w:hAnsi="Times New Roman" w:hint="eastAsia"/>
        </w:rPr>
        <w:t>及</w:t>
      </w:r>
      <w:r w:rsidR="00B26583" w:rsidRPr="00B26583">
        <w:rPr>
          <w:rFonts w:ascii="Times New Roman" w:hAnsi="Times New Roman" w:hint="eastAsia"/>
        </w:rPr>
        <w:t>111</w:t>
      </w:r>
      <w:r w:rsidR="00B26583" w:rsidRPr="00B26583">
        <w:rPr>
          <w:rFonts w:ascii="Times New Roman" w:hAnsi="Times New Roman" w:hint="eastAsia"/>
        </w:rPr>
        <w:t>年方辦理珊瑚監測計畫及珊瑚移植復育措施。另鵬管處雖曾於</w:t>
      </w:r>
      <w:r w:rsidR="00B26583" w:rsidRPr="00B26583">
        <w:rPr>
          <w:rFonts w:ascii="Times New Roman" w:hAnsi="Times New Roman" w:hint="eastAsia"/>
        </w:rPr>
        <w:t>107</w:t>
      </w:r>
      <w:r w:rsidR="00B26583" w:rsidRPr="00B26583">
        <w:rPr>
          <w:rFonts w:ascii="Times New Roman" w:hAnsi="Times New Roman" w:hint="eastAsia"/>
        </w:rPr>
        <w:t>年進行小琉球環境承載量評估調查，惟該調查僅著重觀光旅遊發展，並未考量小琉球海洋生態等環境因素，迨至</w:t>
      </w:r>
      <w:r w:rsidR="00B26583" w:rsidRPr="00B26583">
        <w:rPr>
          <w:rFonts w:ascii="Times New Roman" w:hAnsi="Times New Roman" w:hint="eastAsia"/>
        </w:rPr>
        <w:t>113</w:t>
      </w:r>
      <w:r w:rsidR="00B26583" w:rsidRPr="00B26583">
        <w:rPr>
          <w:rFonts w:ascii="Times New Roman" w:hAnsi="Times New Roman" w:hint="eastAsia"/>
        </w:rPr>
        <w:t>年</w:t>
      </w:r>
      <w:r w:rsidR="00B26583" w:rsidRPr="00B26583">
        <w:rPr>
          <w:rFonts w:ascii="Times New Roman" w:hAnsi="Times New Roman" w:hint="eastAsia"/>
        </w:rPr>
        <w:t>3</w:t>
      </w:r>
      <w:r w:rsidR="00B26583" w:rsidRPr="00B26583">
        <w:rPr>
          <w:rFonts w:ascii="Times New Roman" w:hAnsi="Times New Roman" w:hint="eastAsia"/>
        </w:rPr>
        <w:t>月方重新辦理小琉球遊憩承載量評估委託服務之招標作業，且迄今仍未完成兼顧觀光發展及生態保育之遊憩承載量評估調查，致無法擬定經營管理計畫；鵬管處長期消極不作為，對於大量觀光客源源不斷赴小琉球旅遊完全束手無策，既無法限制交通船航班班次及限制遊客登島人數，復無法提出人流管制替代方案，觀光署作為鵬管處上級機關，亦難辭監督不力之咎，均核有違失</w:t>
      </w:r>
      <w:r w:rsidR="002355E2" w:rsidRPr="00A11636">
        <w:rPr>
          <w:rFonts w:ascii="Times New Roman" w:hAnsi="Times New Roman"/>
        </w:rPr>
        <w:t>，</w:t>
      </w:r>
      <w:r w:rsidR="000512D1" w:rsidRPr="00A11636">
        <w:rPr>
          <w:rFonts w:ascii="Times New Roman" w:hAnsi="Times New Roman"/>
        </w:rPr>
        <w:t>爰依</w:t>
      </w:r>
      <w:r w:rsidR="001B48EB" w:rsidRPr="00A11636">
        <w:rPr>
          <w:rFonts w:ascii="Times New Roman" w:hAnsi="Times New Roman"/>
        </w:rPr>
        <w:t>憲法第</w:t>
      </w:r>
      <w:r w:rsidR="001B48EB" w:rsidRPr="00A11636">
        <w:rPr>
          <w:rFonts w:ascii="Times New Roman" w:hAnsi="Times New Roman"/>
        </w:rPr>
        <w:t>97</w:t>
      </w:r>
      <w:r w:rsidR="001B48EB" w:rsidRPr="00A11636">
        <w:rPr>
          <w:rFonts w:ascii="Times New Roman" w:hAnsi="Times New Roman"/>
        </w:rPr>
        <w:t>條第</w:t>
      </w:r>
      <w:r w:rsidR="001B48EB" w:rsidRPr="00A11636">
        <w:rPr>
          <w:rFonts w:ascii="Times New Roman" w:hAnsi="Times New Roman"/>
        </w:rPr>
        <w:t>1</w:t>
      </w:r>
      <w:r w:rsidR="001B48EB" w:rsidRPr="00A11636">
        <w:rPr>
          <w:rFonts w:ascii="Times New Roman" w:hAnsi="Times New Roman"/>
        </w:rPr>
        <w:t>項及</w:t>
      </w:r>
      <w:r w:rsidR="000512D1" w:rsidRPr="00A11636">
        <w:rPr>
          <w:rFonts w:ascii="Times New Roman" w:hAnsi="Times New Roman"/>
        </w:rPr>
        <w:t>監察法第</w:t>
      </w:r>
      <w:r w:rsidR="000512D1" w:rsidRPr="00A11636">
        <w:rPr>
          <w:rFonts w:ascii="Times New Roman" w:hAnsi="Times New Roman"/>
        </w:rPr>
        <w:t>24</w:t>
      </w:r>
      <w:r w:rsidR="000512D1" w:rsidRPr="00A11636">
        <w:rPr>
          <w:rFonts w:ascii="Times New Roman" w:hAnsi="Times New Roman"/>
        </w:rPr>
        <w:t>條</w:t>
      </w:r>
      <w:r w:rsidR="00396EC5" w:rsidRPr="00A11636">
        <w:rPr>
          <w:rFonts w:ascii="Times New Roman" w:hAnsi="Times New Roman"/>
        </w:rPr>
        <w:t>之</w:t>
      </w:r>
      <w:r w:rsidR="000512D1" w:rsidRPr="00A11636">
        <w:rPr>
          <w:rFonts w:ascii="Times New Roman" w:hAnsi="Times New Roman"/>
        </w:rPr>
        <w:t>規定提案糾正，移送</w:t>
      </w:r>
      <w:r w:rsidR="00B26583">
        <w:rPr>
          <w:rFonts w:ascii="Times New Roman" w:hAnsi="Times New Roman" w:hint="eastAsia"/>
        </w:rPr>
        <w:t>行政院</w:t>
      </w:r>
      <w:r w:rsidR="002B728C" w:rsidRPr="00A11636">
        <w:rPr>
          <w:rFonts w:ascii="Times New Roman" w:hAnsi="Times New Roman"/>
        </w:rPr>
        <w:t>轉飭</w:t>
      </w:r>
      <w:r w:rsidR="00B26583">
        <w:rPr>
          <w:rFonts w:ascii="Times New Roman" w:hAnsi="Times New Roman" w:hint="eastAsia"/>
        </w:rPr>
        <w:t>海洋委員會及交通部觀光署</w:t>
      </w:r>
      <w:r w:rsidR="002B728C" w:rsidRPr="00A11636">
        <w:rPr>
          <w:rFonts w:ascii="Times New Roman" w:hAnsi="Times New Roman"/>
        </w:rPr>
        <w:t>確實檢討改善見復</w:t>
      </w:r>
      <w:r w:rsidR="0063189C" w:rsidRPr="00A11636">
        <w:rPr>
          <w:rFonts w:ascii="Times New Roman" w:hAnsi="Times New Roman"/>
        </w:rPr>
        <w:t>。</w:t>
      </w:r>
    </w:p>
    <w:p w:rsidR="00416721" w:rsidRPr="00A17B5F" w:rsidRDefault="00416721" w:rsidP="00133AA2">
      <w:pPr>
        <w:pStyle w:val="af1"/>
        <w:rPr>
          <w:bCs/>
        </w:rPr>
      </w:pPr>
      <w:bookmarkStart w:id="59" w:name="_Toc524895649"/>
      <w:bookmarkStart w:id="60" w:name="_Toc524896195"/>
      <w:bookmarkStart w:id="61" w:name="_Toc524896225"/>
      <w:bookmarkStart w:id="62" w:name="_GoBack"/>
      <w:bookmarkEnd w:id="58"/>
      <w:bookmarkEnd w:id="59"/>
      <w:bookmarkEnd w:id="60"/>
      <w:bookmarkEnd w:id="61"/>
      <w:bookmarkEnd w:id="62"/>
    </w:p>
    <w:sectPr w:rsidR="00416721" w:rsidRPr="00A17B5F" w:rsidSect="001F7A1B">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77E" w:rsidRDefault="00F8177E">
      <w:r>
        <w:separator/>
      </w:r>
    </w:p>
  </w:endnote>
  <w:endnote w:type="continuationSeparator" w:id="0">
    <w:p w:rsidR="00F8177E" w:rsidRDefault="00F8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77E" w:rsidRDefault="00F8177E">
      <w:r>
        <w:separator/>
      </w:r>
    </w:p>
  </w:footnote>
  <w:footnote w:type="continuationSeparator" w:id="0">
    <w:p w:rsidR="00F8177E" w:rsidRDefault="00F8177E">
      <w:r>
        <w:continuationSeparator/>
      </w:r>
    </w:p>
  </w:footnote>
  <w:footnote w:id="1">
    <w:p w:rsidR="0097297C" w:rsidRPr="00F0750A" w:rsidRDefault="0097297C" w:rsidP="0097297C">
      <w:pPr>
        <w:pStyle w:val="afc"/>
        <w:ind w:leftChars="4" w:left="223" w:hangingChars="95" w:hanging="209"/>
      </w:pPr>
      <w:r>
        <w:rPr>
          <w:rStyle w:val="afe"/>
        </w:rPr>
        <w:footnoteRef/>
      </w:r>
      <w:r>
        <w:t xml:space="preserve"> </w:t>
      </w:r>
      <w:r w:rsidRPr="00F0750A">
        <w:rPr>
          <w:rFonts w:hint="eastAsia"/>
        </w:rPr>
        <w:t>係單位調查範圍中珊瑚所占的比例，</w:t>
      </w:r>
      <w:proofErr w:type="gramStart"/>
      <w:r w:rsidRPr="00F0750A">
        <w:rPr>
          <w:rFonts w:hint="eastAsia"/>
        </w:rPr>
        <w:t>以樣點取樣</w:t>
      </w:r>
      <w:proofErr w:type="gramEnd"/>
      <w:r w:rsidRPr="00F0750A">
        <w:rPr>
          <w:rFonts w:hint="eastAsia"/>
        </w:rPr>
        <w:t>而言，珊瑚覆蓋率為「珊瑚</w:t>
      </w:r>
      <w:proofErr w:type="gramStart"/>
      <w:r w:rsidRPr="00F0750A">
        <w:rPr>
          <w:rFonts w:hint="eastAsia"/>
        </w:rPr>
        <w:t>的總樣點數</w:t>
      </w:r>
      <w:proofErr w:type="gramEnd"/>
      <w:r w:rsidRPr="00F0750A">
        <w:rPr>
          <w:rFonts w:hint="eastAsia"/>
        </w:rPr>
        <w:t>」除以「</w:t>
      </w:r>
      <w:proofErr w:type="gramStart"/>
      <w:r w:rsidRPr="00F0750A">
        <w:rPr>
          <w:rFonts w:hint="eastAsia"/>
        </w:rPr>
        <w:t>總樣點數</w:t>
      </w:r>
      <w:proofErr w:type="gramEnd"/>
      <w:r w:rsidRPr="00F0750A">
        <w:rPr>
          <w:rFonts w:hint="eastAsia"/>
        </w:rPr>
        <w:t>」；以面積取樣而言，珊瑚覆蓋率為「珊瑚的總面積」除以「總面積」</w:t>
      </w:r>
      <w:r>
        <w:rPr>
          <w:rFonts w:hint="eastAsia"/>
        </w:rPr>
        <w:t>。</w:t>
      </w:r>
    </w:p>
  </w:footnote>
  <w:footnote w:id="2">
    <w:p w:rsidR="0097297C" w:rsidRPr="00824550" w:rsidRDefault="0097297C" w:rsidP="0097297C">
      <w:pPr>
        <w:pStyle w:val="afc"/>
        <w:ind w:leftChars="4" w:left="223" w:hangingChars="95" w:hanging="209"/>
      </w:pPr>
      <w:r>
        <w:rPr>
          <w:rStyle w:val="afe"/>
        </w:rPr>
        <w:footnoteRef/>
      </w:r>
      <w:r>
        <w:t xml:space="preserve"> </w:t>
      </w:r>
      <w:r>
        <w:rPr>
          <w:rFonts w:hint="eastAsia"/>
        </w:rPr>
        <w:t>健康：以珊瑚為優勢種，即珊瑚覆蓋率&gt;50%。穩定：珊瑚對藻類的比例相近，即珊瑚覆蓋率30%至50%且珊瑚/藻類比例&gt;0.5，或者珊瑚覆蓋率30%以下但珊瑚/藻類比例&gt;0.5。衰退：珊瑚對藻類的比例較低，即珊瑚覆蓋率10%至30%且珊瑚/藻類比例</w:t>
      </w:r>
      <w:proofErr w:type="gramStart"/>
      <w:r>
        <w:rPr>
          <w:rFonts w:hint="eastAsia"/>
        </w:rPr>
        <w:t>≦</w:t>
      </w:r>
      <w:proofErr w:type="gramEnd"/>
      <w:r>
        <w:rPr>
          <w:rFonts w:hint="eastAsia"/>
        </w:rPr>
        <w:t>0.5，或珊瑚覆蓋率10%以下但珊瑚/藻類比例介於0.1~0.5之間。失能：以藻類為優勢種，即珊瑚覆蓋率&lt;10%且珊瑚/藻類比例&lt;0.1。</w:t>
      </w:r>
    </w:p>
  </w:footnote>
  <w:footnote w:id="3">
    <w:p w:rsidR="0097297C" w:rsidRPr="007854DF" w:rsidRDefault="0097297C" w:rsidP="0097297C">
      <w:pPr>
        <w:pStyle w:val="afc"/>
        <w:ind w:leftChars="5" w:left="239" w:hangingChars="101" w:hanging="222"/>
      </w:pPr>
      <w:r>
        <w:rPr>
          <w:rStyle w:val="afe"/>
        </w:rPr>
        <w:footnoteRef/>
      </w:r>
      <w:r>
        <w:t xml:space="preserve"> </w:t>
      </w:r>
      <w:r w:rsidRPr="001002DE">
        <w:rPr>
          <w:rFonts w:hint="eastAsia"/>
        </w:rPr>
        <w:t>中華民國戶外遊憩學會</w:t>
      </w:r>
      <w:r>
        <w:rPr>
          <w:rFonts w:hint="eastAsia"/>
        </w:rPr>
        <w:t>於77年成立。</w:t>
      </w:r>
    </w:p>
  </w:footnote>
  <w:footnote w:id="4">
    <w:p w:rsidR="0097297C" w:rsidRPr="007854DF" w:rsidRDefault="0097297C" w:rsidP="0097297C">
      <w:pPr>
        <w:pStyle w:val="afc"/>
        <w:ind w:leftChars="3" w:left="208" w:hangingChars="90" w:hanging="198"/>
      </w:pPr>
      <w:r>
        <w:rPr>
          <w:rStyle w:val="afe"/>
        </w:rPr>
        <w:footnoteRef/>
      </w:r>
      <w:r>
        <w:t xml:space="preserve"> </w:t>
      </w:r>
      <w:r w:rsidRPr="004508F9">
        <w:rPr>
          <w:rFonts w:hint="eastAsia"/>
        </w:rPr>
        <w:t>世界休閒組織於2006年在</w:t>
      </w:r>
      <w:proofErr w:type="gramStart"/>
      <w:r w:rsidRPr="004508F9">
        <w:rPr>
          <w:rFonts w:hint="eastAsia"/>
        </w:rPr>
        <w:t>臺</w:t>
      </w:r>
      <w:proofErr w:type="gramEnd"/>
      <w:r w:rsidRPr="004508F9">
        <w:rPr>
          <w:rFonts w:hint="eastAsia"/>
        </w:rPr>
        <w:t>北設立了世界休閒協會臺灣分會。</w:t>
      </w:r>
    </w:p>
  </w:footnote>
  <w:footnote w:id="5">
    <w:p w:rsidR="00B26583" w:rsidRPr="00E069DF" w:rsidRDefault="00B26583" w:rsidP="00B26583">
      <w:pPr>
        <w:pStyle w:val="afc"/>
      </w:pPr>
      <w:r>
        <w:rPr>
          <w:rStyle w:val="afe"/>
        </w:rPr>
        <w:footnoteRef/>
      </w:r>
      <w:r>
        <w:t xml:space="preserve"> </w:t>
      </w:r>
      <w:r>
        <w:rPr>
          <w:rFonts w:hint="eastAsia"/>
        </w:rPr>
        <w:t>資料來源：交通部觀光署行政資訊網(網址：</w:t>
      </w:r>
      <w:r w:rsidRPr="00E069DF">
        <w:rPr>
          <w:rFonts w:ascii="Times New Roman"/>
        </w:rPr>
        <w:t>https://admin.taiwan.net.tw/dbnsa/introductionDbnsa/Articles?a=919</w:t>
      </w:r>
      <w:r>
        <w:rPr>
          <w:rFonts w:hint="eastAsia"/>
        </w:rPr>
        <w:t>)</w:t>
      </w:r>
    </w:p>
  </w:footnote>
  <w:footnote w:id="6">
    <w:p w:rsidR="00B26583" w:rsidRPr="008C6C61" w:rsidRDefault="00B26583" w:rsidP="00B26583">
      <w:pPr>
        <w:pStyle w:val="afc"/>
        <w:ind w:left="222" w:hangingChars="101" w:hanging="222"/>
      </w:pPr>
      <w:r>
        <w:rPr>
          <w:rStyle w:val="afe"/>
        </w:rPr>
        <w:footnoteRef/>
      </w:r>
      <w:r>
        <w:t xml:space="preserve"> </w:t>
      </w:r>
      <w:r w:rsidRPr="00D51F90">
        <w:rPr>
          <w:rFonts w:hint="eastAsia"/>
        </w:rPr>
        <w:t>財團法人綠色和平基金會</w:t>
      </w:r>
      <w:r>
        <w:rPr>
          <w:rFonts w:hint="eastAsia"/>
        </w:rPr>
        <w:t>113年10月18日「</w:t>
      </w:r>
      <w:r w:rsidRPr="008C6C61">
        <w:rPr>
          <w:rFonts w:hint="eastAsia"/>
        </w:rPr>
        <w:t>綠色和平調查 小琉球海洋生態瀕臨枯竭</w:t>
      </w:r>
      <w:r>
        <w:rPr>
          <w:rFonts w:hint="eastAsia"/>
        </w:rPr>
        <w:t>」(參考網址：</w:t>
      </w:r>
      <w:r w:rsidRPr="008C6C61">
        <w:rPr>
          <w:rFonts w:ascii="Times New Roman"/>
          <w:sz w:val="18"/>
        </w:rPr>
        <w:t>https://www.greenpeace.org/taiwan/press/38137/%E7%B6%A0%E8%89%B2%E5%92%8C%E5%B9%B3%E8%AA%BF%E6%9F%A5-%E5%B0%8F%E7%90%89%E7%90%83%E6%B5%B7%E6%B4%8B%E7%94%9F%E6%85%8B%E7%80%95%E8%87%A8%E6%9E%AF%E7%AB%AD/</w:t>
      </w:r>
      <w:r>
        <w:rPr>
          <w:rFonts w:hint="eastAsia"/>
        </w:rPr>
        <w:t>)</w:t>
      </w:r>
    </w:p>
  </w:footnote>
  <w:footnote w:id="7">
    <w:p w:rsidR="00B26583" w:rsidRPr="00015CC8" w:rsidRDefault="00B26583" w:rsidP="00B26583">
      <w:pPr>
        <w:pStyle w:val="afc"/>
      </w:pPr>
      <w:r>
        <w:rPr>
          <w:rStyle w:val="afe"/>
        </w:rPr>
        <w:footnoteRef/>
      </w:r>
      <w:r>
        <w:t xml:space="preserve"> </w:t>
      </w:r>
      <w:r>
        <w:rPr>
          <w:rFonts w:hint="eastAsia"/>
        </w:rPr>
        <w:t>航業法第13條第4項：「</w:t>
      </w:r>
      <w:r w:rsidRPr="00015CC8">
        <w:rPr>
          <w:rFonts w:hint="eastAsia"/>
        </w:rPr>
        <w:t>船舶運送業經營國內固定客運航線，非有正當理由，不得減班或停航；減班或停航時，應於減班或停航</w:t>
      </w:r>
      <w:r>
        <w:rPr>
          <w:rFonts w:hint="eastAsia"/>
        </w:rPr>
        <w:t>3</w:t>
      </w:r>
      <w:r w:rsidRPr="00015CC8">
        <w:rPr>
          <w:rFonts w:hint="eastAsia"/>
        </w:rPr>
        <w:t>日前報請航政機關備查，並於營業場所公告及利用電信網路、新聞紙或廣播電視等方式周知乘客。但因不可抗力因素不及報請備查者，應即時周知乘客，並於事後</w:t>
      </w:r>
      <w:r>
        <w:rPr>
          <w:rFonts w:hint="eastAsia"/>
        </w:rPr>
        <w:t>3</w:t>
      </w:r>
      <w:r w:rsidRPr="00015CC8">
        <w:rPr>
          <w:rFonts w:hint="eastAsia"/>
        </w:rPr>
        <w:t>日內報請航政機關備查。</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1F20"/>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653DF"/>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0B70"/>
    <w:rsid w:val="002421B5"/>
    <w:rsid w:val="0025106C"/>
    <w:rsid w:val="00252BC4"/>
    <w:rsid w:val="00254014"/>
    <w:rsid w:val="00260E19"/>
    <w:rsid w:val="002630A2"/>
    <w:rsid w:val="0026504D"/>
    <w:rsid w:val="002675B2"/>
    <w:rsid w:val="00273A2F"/>
    <w:rsid w:val="00280986"/>
    <w:rsid w:val="00281ECE"/>
    <w:rsid w:val="002831C7"/>
    <w:rsid w:val="002840C6"/>
    <w:rsid w:val="00286B1B"/>
    <w:rsid w:val="0029290E"/>
    <w:rsid w:val="00295174"/>
    <w:rsid w:val="00296172"/>
    <w:rsid w:val="00296B92"/>
    <w:rsid w:val="002A2C22"/>
    <w:rsid w:val="002A4C4F"/>
    <w:rsid w:val="002B02EB"/>
    <w:rsid w:val="002B728C"/>
    <w:rsid w:val="002C0602"/>
    <w:rsid w:val="002C3787"/>
    <w:rsid w:val="002C4291"/>
    <w:rsid w:val="002D5C16"/>
    <w:rsid w:val="002E10EF"/>
    <w:rsid w:val="002E28E0"/>
    <w:rsid w:val="002F3DFF"/>
    <w:rsid w:val="002F5E05"/>
    <w:rsid w:val="00302D71"/>
    <w:rsid w:val="00303775"/>
    <w:rsid w:val="00314F98"/>
    <w:rsid w:val="00317053"/>
    <w:rsid w:val="0032109C"/>
    <w:rsid w:val="00322B45"/>
    <w:rsid w:val="00323809"/>
    <w:rsid w:val="00323D41"/>
    <w:rsid w:val="00325414"/>
    <w:rsid w:val="003302F1"/>
    <w:rsid w:val="0034470E"/>
    <w:rsid w:val="00352DB0"/>
    <w:rsid w:val="0035354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342"/>
    <w:rsid w:val="00423D07"/>
    <w:rsid w:val="00425510"/>
    <w:rsid w:val="004255DB"/>
    <w:rsid w:val="00425872"/>
    <w:rsid w:val="0044346F"/>
    <w:rsid w:val="00460B43"/>
    <w:rsid w:val="0046520A"/>
    <w:rsid w:val="004672AB"/>
    <w:rsid w:val="004714FE"/>
    <w:rsid w:val="004765D4"/>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7AF7"/>
    <w:rsid w:val="005104D7"/>
    <w:rsid w:val="00510B9E"/>
    <w:rsid w:val="005229E9"/>
    <w:rsid w:val="0052385E"/>
    <w:rsid w:val="00531D2C"/>
    <w:rsid w:val="00536BC2"/>
    <w:rsid w:val="005425E1"/>
    <w:rsid w:val="005427C5"/>
    <w:rsid w:val="00542CF6"/>
    <w:rsid w:val="00553C03"/>
    <w:rsid w:val="00563692"/>
    <w:rsid w:val="005644AA"/>
    <w:rsid w:val="0057108E"/>
    <w:rsid w:val="00571349"/>
    <w:rsid w:val="005908B8"/>
    <w:rsid w:val="0059512E"/>
    <w:rsid w:val="005A03DF"/>
    <w:rsid w:val="005A079C"/>
    <w:rsid w:val="005A6DD2"/>
    <w:rsid w:val="005C0790"/>
    <w:rsid w:val="005C385D"/>
    <w:rsid w:val="005C3B2D"/>
    <w:rsid w:val="005D3B20"/>
    <w:rsid w:val="005E4533"/>
    <w:rsid w:val="005E5C68"/>
    <w:rsid w:val="005E65C0"/>
    <w:rsid w:val="005F0390"/>
    <w:rsid w:val="0060557E"/>
    <w:rsid w:val="00610C4A"/>
    <w:rsid w:val="00610CA0"/>
    <w:rsid w:val="00612023"/>
    <w:rsid w:val="00614190"/>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66F5"/>
    <w:rsid w:val="0077309D"/>
    <w:rsid w:val="0077361D"/>
    <w:rsid w:val="0077534A"/>
    <w:rsid w:val="007774EE"/>
    <w:rsid w:val="00781822"/>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05E4"/>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67088"/>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65200"/>
    <w:rsid w:val="0096563F"/>
    <w:rsid w:val="009668B3"/>
    <w:rsid w:val="00971471"/>
    <w:rsid w:val="0097297C"/>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5A2"/>
    <w:rsid w:val="009F682A"/>
    <w:rsid w:val="00A022BE"/>
    <w:rsid w:val="00A11636"/>
    <w:rsid w:val="00A149E7"/>
    <w:rsid w:val="00A151B9"/>
    <w:rsid w:val="00A17B5F"/>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26583"/>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C6297"/>
    <w:rsid w:val="00CC7690"/>
    <w:rsid w:val="00CC7A02"/>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537E1"/>
    <w:rsid w:val="00D55BB2"/>
    <w:rsid w:val="00D6091A"/>
    <w:rsid w:val="00D6378D"/>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46F74"/>
    <w:rsid w:val="00E51DCC"/>
    <w:rsid w:val="00E6034B"/>
    <w:rsid w:val="00E6549E"/>
    <w:rsid w:val="00E65EDE"/>
    <w:rsid w:val="00E70F81"/>
    <w:rsid w:val="00E732F2"/>
    <w:rsid w:val="00E77055"/>
    <w:rsid w:val="00E77460"/>
    <w:rsid w:val="00E83ABC"/>
    <w:rsid w:val="00E844F2"/>
    <w:rsid w:val="00E92FCB"/>
    <w:rsid w:val="00EA147F"/>
    <w:rsid w:val="00EB2BF6"/>
    <w:rsid w:val="00ED03AB"/>
    <w:rsid w:val="00ED0CAC"/>
    <w:rsid w:val="00ED1CD4"/>
    <w:rsid w:val="00ED1D2B"/>
    <w:rsid w:val="00ED5A8D"/>
    <w:rsid w:val="00ED64B5"/>
    <w:rsid w:val="00EE7CCA"/>
    <w:rsid w:val="00F10B42"/>
    <w:rsid w:val="00F11953"/>
    <w:rsid w:val="00F16A14"/>
    <w:rsid w:val="00F201E1"/>
    <w:rsid w:val="00F219A7"/>
    <w:rsid w:val="00F231DC"/>
    <w:rsid w:val="00F23741"/>
    <w:rsid w:val="00F27CF0"/>
    <w:rsid w:val="00F362D7"/>
    <w:rsid w:val="00F37D7B"/>
    <w:rsid w:val="00F404A4"/>
    <w:rsid w:val="00F51A31"/>
    <w:rsid w:val="00F5314C"/>
    <w:rsid w:val="00F635DD"/>
    <w:rsid w:val="00F65F6F"/>
    <w:rsid w:val="00F6627B"/>
    <w:rsid w:val="00F734F2"/>
    <w:rsid w:val="00F75052"/>
    <w:rsid w:val="00F804D3"/>
    <w:rsid w:val="00F8177E"/>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41C92"/>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aliases w:val="標題110/111,節,節1"/>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unhideWhenUsed/>
    <w:rsid w:val="00B8331B"/>
    <w:pPr>
      <w:snapToGrid w:val="0"/>
      <w:jc w:val="left"/>
    </w:pPr>
    <w:rPr>
      <w:sz w:val="20"/>
    </w:rPr>
  </w:style>
  <w:style w:type="character" w:customStyle="1" w:styleId="afd">
    <w:name w:val="註腳文字 字元"/>
    <w:basedOn w:val="a8"/>
    <w:link w:val="afc"/>
    <w:uiPriority w:val="99"/>
    <w:rsid w:val="00B8331B"/>
    <w:rPr>
      <w:rFonts w:ascii="標楷體" w:eastAsia="標楷體"/>
      <w:kern w:val="2"/>
    </w:rPr>
  </w:style>
  <w:style w:type="character" w:styleId="afe">
    <w:name w:val="footnote reference"/>
    <w:basedOn w:val="a8"/>
    <w:uiPriority w:val="99"/>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aliases w:val="標題110/111 字元,節 字元,節1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aliases w:val="表格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C355-D4DD-4C43-A8D3-029D4AFE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17</Pages>
  <Words>1517</Words>
  <Characters>8647</Characters>
  <Application>Microsoft Office Word</Application>
  <DocSecurity>0</DocSecurity>
  <Lines>72</Lines>
  <Paragraphs>20</Paragraphs>
  <ScaleCrop>false</ScaleCrop>
  <Company>cy</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曾莉雯</cp:lastModifiedBy>
  <cp:revision>3</cp:revision>
  <cp:lastPrinted>2024-12-10T08:16:00Z</cp:lastPrinted>
  <dcterms:created xsi:type="dcterms:W3CDTF">2024-12-10T08:17:00Z</dcterms:created>
  <dcterms:modified xsi:type="dcterms:W3CDTF">2024-12-12T07:34:00Z</dcterms:modified>
</cp:coreProperties>
</file>